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05B42" w14:textId="77777777" w:rsidR="00CD2A1F" w:rsidRPr="00E05272" w:rsidRDefault="00CD2A1F" w:rsidP="00CD2A1F">
      <w:pPr>
        <w:jc w:val="both"/>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CD2A1F" w:rsidRPr="00E05272" w14:paraId="0BFE0CCB" w14:textId="77777777" w:rsidTr="00470C15">
        <w:trPr>
          <w:trHeight w:val="413"/>
        </w:trPr>
        <w:tc>
          <w:tcPr>
            <w:tcW w:w="9498" w:type="dxa"/>
            <w:gridSpan w:val="3"/>
          </w:tcPr>
          <w:p w14:paraId="00A9C52D" w14:textId="6A6CA9E7" w:rsidR="00CD2A1F" w:rsidRPr="00E05272" w:rsidRDefault="00CD2A1F" w:rsidP="00470C15">
            <w:pPr>
              <w:tabs>
                <w:tab w:val="left" w:pos="1418"/>
              </w:tabs>
              <w:jc w:val="both"/>
              <w:rPr>
                <w:rFonts w:ascii="Lato" w:hAnsi="Lato" w:cstheme="minorHAnsi"/>
                <w:i/>
                <w:sz w:val="22"/>
                <w:szCs w:val="22"/>
                <w:lang w:eastAsia="en-GB"/>
              </w:rPr>
            </w:pPr>
            <w:r w:rsidRPr="00E05272">
              <w:rPr>
                <w:rFonts w:ascii="Lato" w:hAnsi="Lato" w:cstheme="minorHAnsi"/>
                <w:b/>
                <w:bCs/>
                <w:sz w:val="22"/>
                <w:szCs w:val="22"/>
              </w:rPr>
              <w:t xml:space="preserve">TITLE: </w:t>
            </w:r>
            <w:r w:rsidRPr="00E05272">
              <w:rPr>
                <w:rFonts w:ascii="Lato" w:hAnsi="Lato" w:cstheme="minorHAnsi"/>
                <w:sz w:val="22"/>
                <w:szCs w:val="22"/>
                <w:lang w:eastAsia="en-GB"/>
              </w:rPr>
              <w:t> </w:t>
            </w:r>
            <w:r w:rsidRPr="00E05272">
              <w:rPr>
                <w:rFonts w:ascii="Lato" w:hAnsi="Lato" w:cstheme="minorHAnsi"/>
                <w:sz w:val="22"/>
                <w:szCs w:val="22"/>
                <w:lang w:val="en-US"/>
              </w:rPr>
              <w:t xml:space="preserve"> Senior Humanitarian Child Protection Advisor,</w:t>
            </w:r>
            <w:r w:rsidR="00F54F5C">
              <w:rPr>
                <w:rFonts w:ascii="Lato" w:hAnsi="Lato" w:cstheme="minorHAnsi"/>
                <w:sz w:val="22"/>
                <w:szCs w:val="22"/>
                <w:lang w:val="en-US"/>
              </w:rPr>
              <w:t xml:space="preserve"> (part time</w:t>
            </w:r>
            <w:r w:rsidRPr="00E05272">
              <w:rPr>
                <w:rFonts w:ascii="Lato" w:hAnsi="Lato" w:cstheme="minorHAnsi"/>
                <w:sz w:val="22"/>
                <w:szCs w:val="22"/>
                <w:lang w:val="en-US"/>
              </w:rPr>
              <w:t xml:space="preserve"> </w:t>
            </w:r>
            <w:r w:rsidR="00F54F5C">
              <w:rPr>
                <w:rFonts w:ascii="Lato" w:hAnsi="Lato" w:cstheme="minorHAnsi"/>
                <w:sz w:val="22"/>
                <w:szCs w:val="22"/>
                <w:lang w:val="en-US"/>
              </w:rPr>
              <w:t>-</w:t>
            </w:r>
            <w:r w:rsidRPr="00E05272">
              <w:rPr>
                <w:rFonts w:ascii="Lato" w:hAnsi="Lato" w:cstheme="minorHAnsi"/>
                <w:sz w:val="22"/>
                <w:szCs w:val="22"/>
                <w:lang w:val="en-US"/>
              </w:rPr>
              <w:t>60% Level of Effort</w:t>
            </w:r>
            <w:r w:rsidR="00F54F5C">
              <w:rPr>
                <w:rFonts w:ascii="Lato" w:hAnsi="Lato" w:cstheme="minorHAnsi"/>
                <w:sz w:val="22"/>
                <w:szCs w:val="22"/>
                <w:lang w:val="en-US"/>
              </w:rPr>
              <w:t>)</w:t>
            </w:r>
          </w:p>
        </w:tc>
      </w:tr>
      <w:tr w:rsidR="00CD2A1F" w:rsidRPr="00E05272" w14:paraId="74A008D6" w14:textId="77777777" w:rsidTr="00470C15">
        <w:trPr>
          <w:trHeight w:val="404"/>
        </w:trPr>
        <w:tc>
          <w:tcPr>
            <w:tcW w:w="4253" w:type="dxa"/>
            <w:tcBorders>
              <w:bottom w:val="single" w:sz="4" w:space="0" w:color="auto"/>
            </w:tcBorders>
          </w:tcPr>
          <w:p w14:paraId="2C3D7920" w14:textId="77777777" w:rsidR="00CD2A1F" w:rsidRPr="00E05272" w:rsidRDefault="00CD2A1F" w:rsidP="00470C15">
            <w:pPr>
              <w:tabs>
                <w:tab w:val="left" w:pos="1418"/>
              </w:tabs>
              <w:rPr>
                <w:rFonts w:ascii="Lato" w:hAnsi="Lato" w:cstheme="minorHAnsi"/>
                <w:sz w:val="22"/>
                <w:szCs w:val="22"/>
              </w:rPr>
            </w:pPr>
            <w:r w:rsidRPr="00E05272">
              <w:rPr>
                <w:rFonts w:ascii="Lato" w:hAnsi="Lato" w:cstheme="minorHAnsi"/>
                <w:b/>
                <w:sz w:val="22"/>
                <w:szCs w:val="22"/>
              </w:rPr>
              <w:t xml:space="preserve">TEAM/PROGRAMME: </w:t>
            </w:r>
            <w:r w:rsidRPr="00E05272">
              <w:rPr>
                <w:rFonts w:ascii="Lato" w:hAnsi="Lato" w:cstheme="minorHAnsi"/>
                <w:sz w:val="22"/>
                <w:szCs w:val="22"/>
              </w:rPr>
              <w:t>Centre Humanitarian Child Protection Team</w:t>
            </w:r>
          </w:p>
        </w:tc>
        <w:tc>
          <w:tcPr>
            <w:tcW w:w="5245" w:type="dxa"/>
            <w:gridSpan w:val="2"/>
            <w:tcBorders>
              <w:bottom w:val="single" w:sz="4" w:space="0" w:color="auto"/>
            </w:tcBorders>
          </w:tcPr>
          <w:p w14:paraId="4D5C9A80" w14:textId="6FF15FAE" w:rsidR="00CD2A1F" w:rsidRPr="00E05272" w:rsidRDefault="00CD2A1F" w:rsidP="00470C15">
            <w:pPr>
              <w:tabs>
                <w:tab w:val="left" w:pos="1693"/>
              </w:tabs>
              <w:jc w:val="both"/>
              <w:rPr>
                <w:rFonts w:ascii="Lato" w:hAnsi="Lato" w:cstheme="minorHAnsi"/>
                <w:b/>
                <w:sz w:val="22"/>
                <w:szCs w:val="22"/>
              </w:rPr>
            </w:pPr>
            <w:r w:rsidRPr="00E05272">
              <w:rPr>
                <w:rFonts w:ascii="Lato" w:hAnsi="Lato" w:cstheme="minorHAnsi"/>
                <w:b/>
                <w:sz w:val="22"/>
                <w:szCs w:val="22"/>
              </w:rPr>
              <w:t xml:space="preserve">LOCATION: </w:t>
            </w:r>
            <w:r w:rsidR="00CD5510" w:rsidRPr="00E05272">
              <w:rPr>
                <w:rStyle w:val="Strong"/>
                <w:rFonts w:ascii="Lato" w:hAnsi="Lato"/>
                <w:b w:val="0"/>
                <w:color w:val="222221"/>
                <w:sz w:val="22"/>
                <w:szCs w:val="22"/>
                <w:shd w:val="clear" w:color="auto" w:fill="FFFFFF"/>
              </w:rPr>
              <w:t xml:space="preserve">UK (London or Remote) or any existing Save the Children International Regional or Country office </w:t>
            </w:r>
            <w:r w:rsidR="00CD5510" w:rsidRPr="00E05272">
              <w:rPr>
                <w:rStyle w:val="Strong"/>
                <w:rFonts w:ascii="Lato" w:hAnsi="Lato"/>
                <w:color w:val="222221"/>
                <w:sz w:val="22"/>
                <w:szCs w:val="22"/>
                <w:shd w:val="clear" w:color="auto" w:fill="FFFFFF"/>
              </w:rPr>
              <w:t>Worldwide</w:t>
            </w:r>
          </w:p>
        </w:tc>
      </w:tr>
      <w:tr w:rsidR="00CD2A1F" w:rsidRPr="00E05272" w14:paraId="73CE7681" w14:textId="77777777" w:rsidTr="00470C15">
        <w:trPr>
          <w:trHeight w:val="425"/>
        </w:trPr>
        <w:tc>
          <w:tcPr>
            <w:tcW w:w="4253" w:type="dxa"/>
            <w:tcBorders>
              <w:bottom w:val="single" w:sz="4" w:space="0" w:color="auto"/>
            </w:tcBorders>
          </w:tcPr>
          <w:p w14:paraId="3A7FE44A" w14:textId="2DBFFECF" w:rsidR="00CD2A1F" w:rsidRPr="00E05272" w:rsidRDefault="00CD2A1F" w:rsidP="00470C15">
            <w:pPr>
              <w:tabs>
                <w:tab w:val="left" w:pos="1134"/>
              </w:tabs>
              <w:jc w:val="both"/>
              <w:rPr>
                <w:rFonts w:ascii="Lato" w:hAnsi="Lato" w:cstheme="minorHAnsi"/>
                <w:sz w:val="22"/>
                <w:szCs w:val="22"/>
              </w:rPr>
            </w:pPr>
            <w:r w:rsidRPr="00E05272">
              <w:rPr>
                <w:rFonts w:ascii="Lato" w:hAnsi="Lato" w:cstheme="minorHAnsi"/>
                <w:b/>
                <w:sz w:val="22"/>
                <w:szCs w:val="22"/>
              </w:rPr>
              <w:t>GRADE</w:t>
            </w:r>
            <w:r w:rsidRPr="00E05272">
              <w:rPr>
                <w:rFonts w:ascii="Lato" w:hAnsi="Lato" w:cstheme="minorHAnsi"/>
                <w:sz w:val="22"/>
                <w:szCs w:val="22"/>
              </w:rPr>
              <w:t>: C</w:t>
            </w:r>
            <w:r w:rsidR="00CD5510" w:rsidRPr="00E05272">
              <w:rPr>
                <w:rFonts w:ascii="Lato" w:hAnsi="Lato" w:cstheme="minorHAnsi"/>
                <w:sz w:val="22"/>
                <w:szCs w:val="22"/>
              </w:rPr>
              <w:t>/Nat 3 Mid-Senior level</w:t>
            </w:r>
          </w:p>
        </w:tc>
        <w:tc>
          <w:tcPr>
            <w:tcW w:w="5245" w:type="dxa"/>
            <w:gridSpan w:val="2"/>
            <w:tcBorders>
              <w:bottom w:val="single" w:sz="4" w:space="0" w:color="auto"/>
            </w:tcBorders>
          </w:tcPr>
          <w:p w14:paraId="77EDAB38" w14:textId="7D6F665C" w:rsidR="00CD2A1F" w:rsidRPr="00E05272" w:rsidRDefault="00CD2A1F" w:rsidP="00CD5510">
            <w:pPr>
              <w:tabs>
                <w:tab w:val="left" w:pos="984"/>
              </w:tabs>
              <w:jc w:val="both"/>
              <w:rPr>
                <w:rFonts w:ascii="Lato" w:hAnsi="Lato" w:cstheme="minorHAnsi"/>
                <w:b/>
                <w:i/>
                <w:color w:val="808080"/>
                <w:sz w:val="22"/>
                <w:szCs w:val="22"/>
              </w:rPr>
            </w:pPr>
            <w:r w:rsidRPr="00E05272">
              <w:rPr>
                <w:rFonts w:ascii="Lato" w:hAnsi="Lato" w:cstheme="minorHAnsi"/>
                <w:b/>
                <w:sz w:val="22"/>
                <w:szCs w:val="22"/>
              </w:rPr>
              <w:t>CONTRACT LENGTH:</w:t>
            </w:r>
            <w:r w:rsidRPr="00E05272">
              <w:rPr>
                <w:rFonts w:ascii="Lato" w:hAnsi="Lato" w:cstheme="minorHAnsi"/>
                <w:b/>
                <w:bCs/>
                <w:sz w:val="22"/>
                <w:szCs w:val="22"/>
              </w:rPr>
              <w:t xml:space="preserve"> </w:t>
            </w:r>
            <w:r w:rsidRPr="00E05272">
              <w:rPr>
                <w:rFonts w:ascii="Lato" w:hAnsi="Lato" w:cstheme="minorHAnsi"/>
                <w:sz w:val="22"/>
                <w:szCs w:val="22"/>
              </w:rPr>
              <w:t>16 months (until 29 September 2025)</w:t>
            </w:r>
            <w:r w:rsidRPr="00E05272">
              <w:rPr>
                <w:rFonts w:ascii="Lato" w:hAnsi="Lato" w:cstheme="minorHAnsi"/>
                <w:b/>
                <w:sz w:val="22"/>
                <w:szCs w:val="22"/>
              </w:rPr>
              <w:t xml:space="preserve"> </w:t>
            </w:r>
          </w:p>
        </w:tc>
      </w:tr>
      <w:tr w:rsidR="00CD2A1F" w:rsidRPr="00E05272" w14:paraId="0A9B5FE3" w14:textId="77777777" w:rsidTr="00470C15">
        <w:trPr>
          <w:trHeight w:val="425"/>
        </w:trPr>
        <w:tc>
          <w:tcPr>
            <w:tcW w:w="9498" w:type="dxa"/>
            <w:gridSpan w:val="3"/>
            <w:tcBorders>
              <w:bottom w:val="single" w:sz="4" w:space="0" w:color="auto"/>
            </w:tcBorders>
          </w:tcPr>
          <w:p w14:paraId="52A53A1C" w14:textId="21895A82" w:rsidR="00CD2A1F" w:rsidRDefault="00CD2A1F" w:rsidP="00470C15">
            <w:pPr>
              <w:tabs>
                <w:tab w:val="left" w:pos="984"/>
              </w:tabs>
              <w:jc w:val="both"/>
              <w:rPr>
                <w:rFonts w:ascii="Lato" w:hAnsi="Lato" w:cstheme="minorHAnsi"/>
                <w:b/>
                <w:sz w:val="22"/>
                <w:szCs w:val="22"/>
              </w:rPr>
            </w:pPr>
            <w:r w:rsidRPr="00E05272">
              <w:rPr>
                <w:rFonts w:ascii="Lato" w:hAnsi="Lato" w:cstheme="minorHAnsi"/>
                <w:b/>
                <w:sz w:val="22"/>
                <w:szCs w:val="22"/>
              </w:rPr>
              <w:t>CHILD SAFEGUARDING:</w:t>
            </w:r>
          </w:p>
          <w:p w14:paraId="2D61E3A0" w14:textId="77777777" w:rsidR="00F54F5C" w:rsidRPr="00E05272" w:rsidRDefault="00F54F5C" w:rsidP="00470C15">
            <w:pPr>
              <w:tabs>
                <w:tab w:val="left" w:pos="984"/>
              </w:tabs>
              <w:jc w:val="both"/>
              <w:rPr>
                <w:rFonts w:ascii="Lato" w:hAnsi="Lato" w:cstheme="minorHAnsi"/>
                <w:b/>
                <w:sz w:val="22"/>
                <w:szCs w:val="22"/>
              </w:rPr>
            </w:pPr>
          </w:p>
          <w:p w14:paraId="61A5FD0A" w14:textId="77777777" w:rsidR="00CD2A1F" w:rsidRDefault="00CD5510" w:rsidP="00CD5510">
            <w:pPr>
              <w:rPr>
                <w:rFonts w:ascii="Lato" w:hAnsi="Lato" w:cs="Arial"/>
                <w:sz w:val="22"/>
                <w:szCs w:val="22"/>
                <w:lang w:val="en-US"/>
              </w:rPr>
            </w:pPr>
            <w:r w:rsidRPr="00E05272">
              <w:rPr>
                <w:rFonts w:ascii="Lato" w:hAnsi="Lato" w:cs="Arial"/>
                <w:sz w:val="22"/>
                <w:szCs w:val="22"/>
                <w:lang w:val="en-US"/>
              </w:rPr>
              <w:t xml:space="preserve">Level 2: </w:t>
            </w:r>
            <w:r w:rsidRPr="00E05272">
              <w:rPr>
                <w:rFonts w:ascii="Lato" w:hAnsi="Lato" w:cs="Arial"/>
                <w:i/>
                <w:iCs/>
                <w:sz w:val="22"/>
                <w:szCs w:val="22"/>
                <w:u w:val="single"/>
                <w:lang w:val="en-US"/>
              </w:rPr>
              <w:t>either</w:t>
            </w:r>
            <w:r w:rsidRPr="00E05272">
              <w:rPr>
                <w:rFonts w:ascii="Lato" w:hAnsi="Lato" w:cs="Arial"/>
                <w:sz w:val="22"/>
                <w:szCs w:val="22"/>
                <w:lang w:val="en-US"/>
              </w:rPr>
              <w:t xml:space="preserve"> the post holder will have access to personal data about children and/or young people as part of their work; </w:t>
            </w:r>
            <w:r w:rsidRPr="00E05272">
              <w:rPr>
                <w:rFonts w:ascii="Lato" w:hAnsi="Lato" w:cs="Arial"/>
                <w:i/>
                <w:iCs/>
                <w:sz w:val="22"/>
                <w:szCs w:val="22"/>
                <w:u w:val="single"/>
                <w:lang w:val="en-US"/>
              </w:rPr>
              <w:t>or</w:t>
            </w:r>
            <w:r w:rsidRPr="00E05272">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1CC9F3D1" w14:textId="559F7706" w:rsidR="00F54F5C" w:rsidRPr="00E05272" w:rsidRDefault="00F54F5C" w:rsidP="00CD5510">
            <w:pPr>
              <w:rPr>
                <w:rFonts w:ascii="Lato" w:hAnsi="Lato" w:cstheme="minorHAnsi"/>
                <w:sz w:val="22"/>
                <w:szCs w:val="22"/>
                <w:lang w:val="en-US"/>
              </w:rPr>
            </w:pPr>
          </w:p>
        </w:tc>
      </w:tr>
      <w:tr w:rsidR="00CD2A1F" w:rsidRPr="00E05272" w14:paraId="581B4809" w14:textId="77777777" w:rsidTr="00470C15">
        <w:trPr>
          <w:trHeight w:val="1765"/>
        </w:trPr>
        <w:tc>
          <w:tcPr>
            <w:tcW w:w="9498" w:type="dxa"/>
            <w:gridSpan w:val="3"/>
          </w:tcPr>
          <w:p w14:paraId="62449510" w14:textId="65BEE3F3" w:rsidR="00CD5510" w:rsidRDefault="00CD5510" w:rsidP="00CD5510">
            <w:pPr>
              <w:tabs>
                <w:tab w:val="left" w:pos="984"/>
              </w:tabs>
              <w:jc w:val="both"/>
              <w:rPr>
                <w:rFonts w:ascii="Lato" w:hAnsi="Lato" w:cstheme="minorHAnsi"/>
                <w:b/>
                <w:sz w:val="22"/>
                <w:szCs w:val="22"/>
              </w:rPr>
            </w:pPr>
            <w:r w:rsidRPr="00E05272">
              <w:rPr>
                <w:rFonts w:ascii="Lato" w:hAnsi="Lato" w:cstheme="minorHAnsi"/>
                <w:b/>
                <w:sz w:val="22"/>
                <w:szCs w:val="22"/>
              </w:rPr>
              <w:t>ROLE PURPOSE:</w:t>
            </w:r>
          </w:p>
          <w:p w14:paraId="673BC3BB" w14:textId="77777777" w:rsidR="00F54F5C" w:rsidRPr="00E05272" w:rsidRDefault="00F54F5C" w:rsidP="00CD5510">
            <w:pPr>
              <w:tabs>
                <w:tab w:val="left" w:pos="984"/>
              </w:tabs>
              <w:jc w:val="both"/>
              <w:rPr>
                <w:rFonts w:ascii="Lato" w:hAnsi="Lato" w:cstheme="minorHAnsi"/>
                <w:b/>
                <w:sz w:val="22"/>
                <w:szCs w:val="22"/>
              </w:rPr>
            </w:pPr>
          </w:p>
          <w:p w14:paraId="05BA3B78" w14:textId="3D183A74" w:rsidR="00CD2A1F" w:rsidRPr="00E05272" w:rsidRDefault="00CD2A1F" w:rsidP="00470C15">
            <w:pPr>
              <w:pStyle w:val="contentpasted0"/>
              <w:spacing w:after="120"/>
              <w:rPr>
                <w:rFonts w:ascii="Lato" w:hAnsi="Lato" w:cstheme="minorHAnsi"/>
                <w:color w:val="000000" w:themeColor="text1"/>
                <w:sz w:val="22"/>
                <w:szCs w:val="22"/>
              </w:rPr>
            </w:pPr>
            <w:r w:rsidRPr="00E05272">
              <w:rPr>
                <w:rFonts w:ascii="Lato" w:hAnsi="Lato" w:cstheme="minorHAnsi"/>
                <w:sz w:val="22"/>
                <w:szCs w:val="22"/>
              </w:rPr>
              <w:t xml:space="preserve">In the immediate aftermath of a disaster or conflict, and throughout the transition from emergency response to recovery and sustainable development, Save the Children’s presence in 120 countries facilitates the rapid delivery of evidence-based and innovative interventions that address the major life-saving and protection needs of the world’s most vulnerable populations. Save the Children’s Centre Humanitarian Technical Team (CHTT) provides quality technical support and strategic direction to programs in humanitarian settings and conducts research, capacity strengthening, and global representation to improve future responses.  </w:t>
            </w:r>
            <w:r w:rsidRPr="00E05272">
              <w:rPr>
                <w:rFonts w:ascii="Lato" w:hAnsi="Lato" w:cstheme="minorHAnsi"/>
                <w:color w:val="000000" w:themeColor="text1"/>
                <w:sz w:val="22"/>
                <w:szCs w:val="22"/>
              </w:rPr>
              <w:t xml:space="preserve">The position will be part of the Centre Humanitarian Child Protection Team (CHTT) of the Centre Humanitarian Team, but the scope of this role may evolve to work with additional sector teams in the future.  </w:t>
            </w:r>
          </w:p>
          <w:p w14:paraId="54882051" w14:textId="77777777" w:rsidR="00CD2A1F" w:rsidRPr="00E05272" w:rsidRDefault="00CD2A1F" w:rsidP="00470C15">
            <w:pPr>
              <w:spacing w:after="120"/>
              <w:rPr>
                <w:rFonts w:ascii="Lato" w:hAnsi="Lato" w:cstheme="minorHAnsi"/>
                <w:sz w:val="22"/>
                <w:szCs w:val="22"/>
              </w:rPr>
            </w:pPr>
            <w:r w:rsidRPr="00E05272">
              <w:rPr>
                <w:rFonts w:ascii="Lato" w:hAnsi="Lato" w:cstheme="minorHAnsi"/>
                <w:sz w:val="22"/>
                <w:szCs w:val="22"/>
              </w:rPr>
              <w:t xml:space="preserve">In times of crisis, the specific protection, mental health and psychosocial support needs of LGBTQI+ children and their families are often overlooked.  LGBTQI+ children and their families are disproportionately impacted by inequality and discrimination including criminalisation of their identity, and are at heightened risk of violence, exploitation and family breakdown.  All child protection case management programmes are likely to include LGBTQI+ children, yet no guidance exists on how to work with them to understand and address the specific risks that they face in a way that avoids doing harm.  </w:t>
            </w:r>
          </w:p>
          <w:p w14:paraId="054CA656" w14:textId="77777777" w:rsidR="00CD2A1F" w:rsidRPr="00E05272" w:rsidRDefault="00CD2A1F" w:rsidP="00470C15">
            <w:pPr>
              <w:spacing w:after="120"/>
              <w:rPr>
                <w:rFonts w:ascii="Lato" w:hAnsi="Lato" w:cstheme="minorHAnsi"/>
                <w:sz w:val="22"/>
                <w:szCs w:val="22"/>
              </w:rPr>
            </w:pPr>
            <w:r w:rsidRPr="00E05272">
              <w:rPr>
                <w:rFonts w:ascii="Lato" w:hAnsi="Lato" w:cstheme="minorHAnsi"/>
                <w:sz w:val="22"/>
                <w:szCs w:val="22"/>
              </w:rPr>
              <w:t xml:space="preserve">Save the Children has received funding from BPRM (the interagency PRISM Project, which is led by Save the Children and implemented under the Alliance for Child Protection in Humanitarian Action) from October 2023 to October 2025 to improve the protection, mental health and psychosocial wellbeing of LGBTQI+ children and their families through child protection case management in humanitarian settings by engaging LGBTQI+ organisations in scoping lessons learnt and good practice and by developing, piloting and disseminating principles, guidance and tools.  The Snr Humanitarian Child Protection Advisor will act as the technical lead for the PRISM Project, ensuring the implementation of timely, high quality project activities.  </w:t>
            </w:r>
          </w:p>
          <w:p w14:paraId="6895DBB9" w14:textId="77777777" w:rsidR="00CD2A1F" w:rsidRPr="00E05272" w:rsidRDefault="00CD2A1F" w:rsidP="00470C15">
            <w:pPr>
              <w:spacing w:after="120"/>
              <w:rPr>
                <w:rFonts w:ascii="Lato" w:hAnsi="Lato" w:cstheme="minorHAnsi"/>
                <w:color w:val="000000" w:themeColor="text1"/>
                <w:sz w:val="22"/>
                <w:szCs w:val="22"/>
              </w:rPr>
            </w:pPr>
            <w:r w:rsidRPr="00E05272">
              <w:rPr>
                <w:rFonts w:ascii="Lato" w:hAnsi="Lato" w:cstheme="minorHAnsi"/>
                <w:color w:val="000000" w:themeColor="text1"/>
                <w:sz w:val="22"/>
                <w:szCs w:val="22"/>
              </w:rPr>
              <w:t xml:space="preserve">Specifically, the post holder will be accountable for </w:t>
            </w:r>
            <w:bookmarkStart w:id="0" w:name="_Hlk111888049"/>
            <w:r w:rsidRPr="00E05272">
              <w:rPr>
                <w:rFonts w:ascii="Lato" w:hAnsi="Lato" w:cstheme="minorHAnsi"/>
                <w:color w:val="000000" w:themeColor="text1"/>
                <w:sz w:val="22"/>
                <w:szCs w:val="22"/>
              </w:rPr>
              <w:t xml:space="preserve">(1) coordinating internal and external partners and stakeholders for the governance and delivery of the project outputs; (2) coordinating and managing the development of principles, guidance and tools to support the child protection case management of LGBTQI+ children and their families; and (3) engagement with country-level stakeholders to support piloting of principles, guidance and tools in humanitarian crises.  </w:t>
            </w:r>
            <w:bookmarkEnd w:id="0"/>
          </w:p>
        </w:tc>
      </w:tr>
      <w:tr w:rsidR="00CD2A1F" w:rsidRPr="00E05272" w14:paraId="44EEF4A4" w14:textId="77777777" w:rsidTr="00470C15">
        <w:trPr>
          <w:trHeight w:val="304"/>
        </w:trPr>
        <w:tc>
          <w:tcPr>
            <w:tcW w:w="9498" w:type="dxa"/>
            <w:gridSpan w:val="3"/>
          </w:tcPr>
          <w:p w14:paraId="29A75677" w14:textId="77777777" w:rsidR="00CD2A1F" w:rsidRPr="00E05272" w:rsidRDefault="00CD2A1F" w:rsidP="00470C15">
            <w:pPr>
              <w:tabs>
                <w:tab w:val="left" w:pos="2410"/>
              </w:tabs>
              <w:snapToGrid w:val="0"/>
              <w:jc w:val="both"/>
              <w:rPr>
                <w:rFonts w:ascii="Lato" w:hAnsi="Lato" w:cstheme="minorHAnsi"/>
                <w:b/>
                <w:i/>
                <w:sz w:val="22"/>
                <w:szCs w:val="22"/>
              </w:rPr>
            </w:pPr>
            <w:r w:rsidRPr="00E05272">
              <w:rPr>
                <w:rFonts w:ascii="Lato" w:hAnsi="Lato" w:cstheme="minorHAnsi"/>
                <w:b/>
                <w:sz w:val="22"/>
                <w:szCs w:val="22"/>
              </w:rPr>
              <w:t xml:space="preserve">SCOPE OF ROLE: </w:t>
            </w:r>
          </w:p>
          <w:p w14:paraId="13ACDADD" w14:textId="77777777" w:rsidR="00CD2A1F" w:rsidRPr="00E05272" w:rsidRDefault="00CD2A1F" w:rsidP="00470C15">
            <w:pPr>
              <w:tabs>
                <w:tab w:val="left" w:pos="2410"/>
              </w:tabs>
              <w:jc w:val="both"/>
              <w:rPr>
                <w:rFonts w:ascii="Lato" w:hAnsi="Lato" w:cstheme="minorHAnsi"/>
                <w:b/>
                <w:i/>
                <w:sz w:val="22"/>
                <w:szCs w:val="22"/>
              </w:rPr>
            </w:pPr>
          </w:p>
          <w:p w14:paraId="69551CA3" w14:textId="77777777" w:rsidR="00CD2A1F" w:rsidRPr="00E05272" w:rsidRDefault="00CD2A1F" w:rsidP="00470C15">
            <w:pPr>
              <w:spacing w:line="259" w:lineRule="auto"/>
              <w:jc w:val="both"/>
              <w:rPr>
                <w:rFonts w:ascii="Lato" w:hAnsi="Lato" w:cstheme="minorHAnsi"/>
                <w:b/>
                <w:bCs/>
                <w:i/>
                <w:iCs/>
                <w:sz w:val="22"/>
                <w:szCs w:val="22"/>
              </w:rPr>
            </w:pPr>
            <w:r w:rsidRPr="00E05272">
              <w:rPr>
                <w:rFonts w:ascii="Lato" w:hAnsi="Lato" w:cstheme="minorHAnsi"/>
                <w:b/>
                <w:bCs/>
                <w:sz w:val="22"/>
                <w:szCs w:val="22"/>
              </w:rPr>
              <w:t xml:space="preserve">Reports to: </w:t>
            </w:r>
            <w:r w:rsidRPr="00E05272">
              <w:rPr>
                <w:rFonts w:ascii="Lato" w:hAnsi="Lato" w:cstheme="minorHAnsi"/>
                <w:sz w:val="22"/>
                <w:szCs w:val="22"/>
              </w:rPr>
              <w:t>Head of Humanitarian Child Protection</w:t>
            </w:r>
          </w:p>
          <w:p w14:paraId="01387694" w14:textId="77777777" w:rsidR="00CD2A1F" w:rsidRPr="00E05272" w:rsidRDefault="00CD2A1F" w:rsidP="00470C15">
            <w:pPr>
              <w:jc w:val="both"/>
              <w:rPr>
                <w:rFonts w:ascii="Lato" w:hAnsi="Lato" w:cstheme="minorHAnsi"/>
                <w:b/>
                <w:sz w:val="22"/>
                <w:szCs w:val="22"/>
              </w:rPr>
            </w:pPr>
            <w:r w:rsidRPr="00E05272">
              <w:rPr>
                <w:rFonts w:ascii="Lato" w:hAnsi="Lato" w:cstheme="minorHAnsi"/>
                <w:b/>
                <w:bCs/>
                <w:sz w:val="22"/>
                <w:szCs w:val="22"/>
              </w:rPr>
              <w:t xml:space="preserve">Staff reporting to this post: </w:t>
            </w:r>
            <w:r w:rsidRPr="00E05272">
              <w:rPr>
                <w:rFonts w:ascii="Lato" w:hAnsi="Lato" w:cstheme="minorHAnsi"/>
                <w:sz w:val="22"/>
                <w:szCs w:val="22"/>
              </w:rPr>
              <w:t>N/A</w:t>
            </w:r>
          </w:p>
          <w:p w14:paraId="6E29CBAD" w14:textId="77777777" w:rsidR="00CD2A1F" w:rsidRPr="00E05272" w:rsidRDefault="00CD2A1F" w:rsidP="00470C15">
            <w:pPr>
              <w:jc w:val="both"/>
              <w:rPr>
                <w:rFonts w:ascii="Lato" w:hAnsi="Lato" w:cstheme="minorHAnsi"/>
                <w:b/>
                <w:sz w:val="22"/>
                <w:szCs w:val="22"/>
              </w:rPr>
            </w:pPr>
            <w:r w:rsidRPr="00E05272">
              <w:rPr>
                <w:rFonts w:ascii="Lato" w:hAnsi="Lato" w:cstheme="minorHAnsi"/>
                <w:b/>
                <w:bCs/>
                <w:sz w:val="22"/>
                <w:szCs w:val="22"/>
              </w:rPr>
              <w:lastRenderedPageBreak/>
              <w:t xml:space="preserve">Direct: </w:t>
            </w:r>
            <w:r w:rsidRPr="00E05272">
              <w:rPr>
                <w:rFonts w:ascii="Lato" w:hAnsi="Lato" w:cstheme="minorHAnsi"/>
                <w:sz w:val="22"/>
                <w:szCs w:val="22"/>
              </w:rPr>
              <w:t>No</w:t>
            </w:r>
          </w:p>
          <w:p w14:paraId="5477A9BA" w14:textId="77777777" w:rsidR="00CD2A1F" w:rsidRPr="00E05272" w:rsidRDefault="00CD2A1F" w:rsidP="00470C15">
            <w:pPr>
              <w:jc w:val="both"/>
              <w:rPr>
                <w:rFonts w:ascii="Lato" w:hAnsi="Lato" w:cstheme="minorHAnsi"/>
                <w:b/>
                <w:sz w:val="22"/>
                <w:szCs w:val="22"/>
              </w:rPr>
            </w:pPr>
            <w:r w:rsidRPr="00E05272">
              <w:rPr>
                <w:rFonts w:ascii="Lato" w:hAnsi="Lato" w:cstheme="minorHAnsi"/>
                <w:b/>
                <w:bCs/>
                <w:sz w:val="22"/>
                <w:szCs w:val="22"/>
              </w:rPr>
              <w:t xml:space="preserve">Indirect: </w:t>
            </w:r>
            <w:r w:rsidRPr="00E05272">
              <w:rPr>
                <w:rFonts w:ascii="Lato" w:hAnsi="Lato" w:cstheme="minorHAnsi"/>
                <w:sz w:val="22"/>
                <w:szCs w:val="22"/>
              </w:rPr>
              <w:t>Yes</w:t>
            </w:r>
          </w:p>
          <w:p w14:paraId="0DB72FF2" w14:textId="77777777" w:rsidR="00CD2A1F" w:rsidRPr="00E05272" w:rsidRDefault="00CD2A1F" w:rsidP="00470C15">
            <w:pPr>
              <w:jc w:val="both"/>
              <w:rPr>
                <w:rFonts w:ascii="Lato" w:hAnsi="Lato" w:cstheme="minorHAnsi"/>
                <w:sz w:val="22"/>
                <w:szCs w:val="22"/>
              </w:rPr>
            </w:pPr>
            <w:r w:rsidRPr="00E05272">
              <w:rPr>
                <w:rFonts w:ascii="Lato" w:hAnsi="Lato" w:cstheme="minorHAnsi"/>
                <w:b/>
                <w:sz w:val="22"/>
                <w:szCs w:val="22"/>
              </w:rPr>
              <w:t xml:space="preserve">Budget Responsibilities: </w:t>
            </w:r>
            <w:r w:rsidRPr="00E05272">
              <w:rPr>
                <w:rFonts w:ascii="Lato" w:hAnsi="Lato" w:cstheme="minorHAnsi"/>
                <w:sz w:val="22"/>
                <w:szCs w:val="22"/>
              </w:rPr>
              <w:t>Yes</w:t>
            </w:r>
          </w:p>
          <w:p w14:paraId="47B7158E" w14:textId="77777777" w:rsidR="00CD2A1F" w:rsidRPr="00E05272" w:rsidRDefault="00CD2A1F" w:rsidP="00470C15">
            <w:pPr>
              <w:rPr>
                <w:rFonts w:ascii="Lato" w:hAnsi="Lato" w:cstheme="minorHAnsi"/>
                <w:color w:val="000000" w:themeColor="text1"/>
                <w:sz w:val="22"/>
                <w:szCs w:val="22"/>
              </w:rPr>
            </w:pPr>
            <w:r w:rsidRPr="00E05272">
              <w:rPr>
                <w:rFonts w:ascii="Lato" w:hAnsi="Lato" w:cstheme="minorHAnsi"/>
                <w:b/>
                <w:color w:val="000000" w:themeColor="text1"/>
                <w:sz w:val="22"/>
                <w:szCs w:val="22"/>
              </w:rPr>
              <w:t>Role Dimensions</w:t>
            </w:r>
            <w:r w:rsidRPr="00E05272">
              <w:rPr>
                <w:rFonts w:ascii="Lato" w:hAnsi="Lato" w:cstheme="minorHAnsi"/>
                <w:color w:val="000000" w:themeColor="text1"/>
                <w:sz w:val="22"/>
                <w:szCs w:val="22"/>
              </w:rPr>
              <w:t>:</w:t>
            </w:r>
          </w:p>
          <w:p w14:paraId="55C2BCBB" w14:textId="77777777" w:rsidR="00CD2A1F" w:rsidRPr="00E05272" w:rsidRDefault="00CD2A1F" w:rsidP="00470C15">
            <w:pPr>
              <w:rPr>
                <w:rFonts w:ascii="Lato" w:hAnsi="Lato" w:cstheme="minorHAnsi"/>
                <w:sz w:val="22"/>
                <w:szCs w:val="22"/>
              </w:rPr>
            </w:pPr>
            <w:r w:rsidRPr="00E05272">
              <w:rPr>
                <w:rFonts w:ascii="Lato" w:hAnsi="Lato" w:cstheme="minorHAnsi"/>
                <w:color w:val="000000" w:themeColor="text1"/>
                <w:sz w:val="22"/>
                <w:szCs w:val="22"/>
              </w:rPr>
              <w:t xml:space="preserve">This role reports directly to the </w:t>
            </w:r>
            <w:r w:rsidRPr="00E05272">
              <w:rPr>
                <w:rFonts w:ascii="Lato" w:hAnsi="Lato" w:cstheme="minorHAnsi"/>
                <w:color w:val="000000"/>
                <w:sz w:val="22"/>
                <w:szCs w:val="22"/>
              </w:rPr>
              <w:t xml:space="preserve">Head of Humanitarian Child Protection </w:t>
            </w:r>
            <w:r w:rsidRPr="00E05272">
              <w:rPr>
                <w:rFonts w:ascii="Lato" w:hAnsi="Lato" w:cstheme="minorHAnsi"/>
                <w:color w:val="000000" w:themeColor="text1"/>
                <w:sz w:val="22"/>
                <w:szCs w:val="22"/>
              </w:rPr>
              <w:t xml:space="preserve">and sits within SCI’s Centre Humanitarian Child Protection Team. As the project lead for PRISM, the role will lead the interagency LGBTQI+ Task Team under the Case Management Task Team of the Alliance, ensuring implementation of timely, high quality project activities. </w:t>
            </w:r>
            <w:r w:rsidRPr="00E05272">
              <w:rPr>
                <w:rFonts w:ascii="Lato" w:hAnsi="Lato" w:cstheme="minorHAnsi"/>
                <w:sz w:val="22"/>
                <w:szCs w:val="22"/>
              </w:rPr>
              <w:t>The role is expected to foster relationships with a wide range of internal stakeholders including heads of sectors in the Centre Humanitarian Technical Teams and relevant Technical Working Groups including the Gender Equality TWG, the SOGIESC Task Force, the Disability TWG, Child Protection Systems TWG and the SGBV TWG.</w:t>
            </w:r>
          </w:p>
          <w:p w14:paraId="2ACF2B1A" w14:textId="77777777" w:rsidR="00CD2A1F" w:rsidRPr="00E05272" w:rsidRDefault="00CD2A1F" w:rsidP="00470C15">
            <w:pPr>
              <w:rPr>
                <w:rFonts w:ascii="Lato" w:hAnsi="Lato" w:cstheme="minorHAnsi"/>
                <w:b/>
                <w:color w:val="A6A6A6" w:themeColor="background1" w:themeShade="A6"/>
                <w:sz w:val="22"/>
                <w:szCs w:val="22"/>
              </w:rPr>
            </w:pPr>
            <w:r w:rsidRPr="00E05272">
              <w:rPr>
                <w:rFonts w:ascii="Lato" w:hAnsi="Lato" w:cstheme="minorHAnsi"/>
                <w:b/>
                <w:sz w:val="22"/>
                <w:szCs w:val="22"/>
              </w:rPr>
              <w:t xml:space="preserve">Context: </w:t>
            </w:r>
            <w:r w:rsidRPr="00E05272">
              <w:rPr>
                <w:rFonts w:ascii="Lato" w:hAnsi="Lato" w:cstheme="minorHAnsi"/>
                <w:sz w:val="22"/>
                <w:szCs w:val="22"/>
              </w:rPr>
              <w:t xml:space="preserve">Humanitarian </w:t>
            </w:r>
          </w:p>
          <w:p w14:paraId="68B53DC3" w14:textId="77777777" w:rsidR="00CD2A1F" w:rsidRPr="00E05272" w:rsidRDefault="00CD2A1F" w:rsidP="00470C15">
            <w:pPr>
              <w:rPr>
                <w:rFonts w:ascii="Lato" w:hAnsi="Lato" w:cstheme="minorHAnsi"/>
                <w:sz w:val="22"/>
                <w:szCs w:val="22"/>
              </w:rPr>
            </w:pPr>
            <w:r w:rsidRPr="00E05272">
              <w:rPr>
                <w:rFonts w:ascii="Lato" w:hAnsi="Lato" w:cstheme="minorHAnsi"/>
                <w:b/>
                <w:sz w:val="22"/>
                <w:szCs w:val="22"/>
              </w:rPr>
              <w:t>Primary Technical area:</w:t>
            </w:r>
            <w:r w:rsidRPr="00E05272">
              <w:rPr>
                <w:rFonts w:ascii="Lato" w:hAnsi="Lato" w:cstheme="minorHAnsi"/>
                <w:color w:val="808080"/>
                <w:sz w:val="22"/>
                <w:szCs w:val="22"/>
              </w:rPr>
              <w:t xml:space="preserve"> </w:t>
            </w:r>
            <w:r w:rsidRPr="00E05272">
              <w:rPr>
                <w:rFonts w:ascii="Lato" w:hAnsi="Lato" w:cstheme="minorHAnsi"/>
                <w:sz w:val="22"/>
                <w:szCs w:val="22"/>
              </w:rPr>
              <w:t>LGBTQI+ Inclusion, child protection with specific focus on case management (including for child survivors of SGBV)</w:t>
            </w:r>
          </w:p>
          <w:p w14:paraId="0C0F6053" w14:textId="77777777" w:rsidR="00CD2A1F" w:rsidRPr="00E05272" w:rsidRDefault="00CD2A1F" w:rsidP="00470C15">
            <w:pPr>
              <w:rPr>
                <w:rFonts w:ascii="Lato" w:hAnsi="Lato" w:cstheme="minorHAnsi"/>
                <w:b/>
                <w:sz w:val="22"/>
                <w:szCs w:val="22"/>
              </w:rPr>
            </w:pPr>
          </w:p>
        </w:tc>
      </w:tr>
      <w:tr w:rsidR="00CD2A1F" w:rsidRPr="00E05272" w14:paraId="5219E305" w14:textId="77777777" w:rsidTr="00470C15">
        <w:tc>
          <w:tcPr>
            <w:tcW w:w="9498" w:type="dxa"/>
            <w:gridSpan w:val="3"/>
          </w:tcPr>
          <w:p w14:paraId="1E2C2307" w14:textId="77777777" w:rsidR="00CD2A1F" w:rsidRPr="00E05272" w:rsidRDefault="00CD2A1F" w:rsidP="00470C15">
            <w:pPr>
              <w:tabs>
                <w:tab w:val="left" w:pos="2977"/>
              </w:tabs>
              <w:spacing w:after="120"/>
              <w:jc w:val="both"/>
              <w:rPr>
                <w:rFonts w:ascii="Lato" w:hAnsi="Lato" w:cstheme="minorHAnsi"/>
                <w:b/>
                <w:bCs/>
                <w:sz w:val="22"/>
                <w:szCs w:val="22"/>
              </w:rPr>
            </w:pPr>
            <w:r w:rsidRPr="00E05272">
              <w:rPr>
                <w:rFonts w:ascii="Lato" w:hAnsi="Lato" w:cstheme="minorHAnsi"/>
                <w:b/>
                <w:bCs/>
                <w:sz w:val="22"/>
                <w:szCs w:val="22"/>
              </w:rPr>
              <w:lastRenderedPageBreak/>
              <w:t xml:space="preserve">KEY AREAS OF ACCOUNTABILITY: </w:t>
            </w:r>
          </w:p>
          <w:p w14:paraId="1E488927" w14:textId="77777777" w:rsidR="00CD2A1F" w:rsidRPr="00E05272" w:rsidRDefault="00CD2A1F" w:rsidP="00470C15">
            <w:pPr>
              <w:tabs>
                <w:tab w:val="left" w:pos="2977"/>
              </w:tabs>
              <w:spacing w:after="120"/>
              <w:jc w:val="both"/>
              <w:rPr>
                <w:rFonts w:ascii="Lato" w:eastAsia="Gill Sans Infant Std" w:hAnsi="Lato" w:cstheme="minorHAnsi"/>
                <w:b/>
                <w:bCs/>
                <w:color w:val="000000" w:themeColor="text1"/>
                <w:sz w:val="22"/>
                <w:szCs w:val="22"/>
              </w:rPr>
            </w:pPr>
            <w:r w:rsidRPr="00E05272">
              <w:rPr>
                <w:rFonts w:ascii="Lato" w:hAnsi="Lato" w:cstheme="minorHAnsi"/>
                <w:b/>
                <w:bCs/>
                <w:color w:val="000000" w:themeColor="text1"/>
                <w:sz w:val="22"/>
                <w:szCs w:val="22"/>
              </w:rPr>
              <w:t>Coordinate internal and external partners and stakeholders for the governance and delivery of the project outputs</w:t>
            </w:r>
            <w:r w:rsidRPr="00E05272">
              <w:rPr>
                <w:rFonts w:ascii="Lato" w:eastAsia="Gill Sans Infant Std" w:hAnsi="Lato" w:cstheme="minorHAnsi"/>
                <w:b/>
                <w:bCs/>
                <w:color w:val="000000" w:themeColor="text1"/>
                <w:sz w:val="22"/>
                <w:szCs w:val="22"/>
              </w:rPr>
              <w:t xml:space="preserve"> (15%)</w:t>
            </w:r>
          </w:p>
          <w:p w14:paraId="5FC26D31" w14:textId="77777777" w:rsidR="00CD2A1F" w:rsidRPr="00E05272" w:rsidRDefault="00CD2A1F" w:rsidP="00470C15">
            <w:pPr>
              <w:tabs>
                <w:tab w:val="left" w:pos="2977"/>
              </w:tabs>
              <w:spacing w:after="120"/>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Core accountabilities include:</w:t>
            </w:r>
          </w:p>
          <w:p w14:paraId="40E3CA57" w14:textId="77777777" w:rsidR="00CD2A1F" w:rsidRPr="00E05272" w:rsidRDefault="00CD2A1F" w:rsidP="00CD2A1F">
            <w:pPr>
              <w:pStyle w:val="ListParagraph"/>
              <w:numPr>
                <w:ilvl w:val="0"/>
                <w:numId w:val="4"/>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Close coordination with the PRISM Project Officer and Award Manager and technical support to staff and consultants engaged in project deliverables;</w:t>
            </w:r>
          </w:p>
          <w:p w14:paraId="7DD647C4" w14:textId="77777777" w:rsidR="00CD2A1F" w:rsidRPr="00E05272" w:rsidRDefault="00CD2A1F" w:rsidP="00CD2A1F">
            <w:pPr>
              <w:pStyle w:val="ListParagraph"/>
              <w:numPr>
                <w:ilvl w:val="0"/>
                <w:numId w:val="4"/>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Acting as focal point for external partnerships with University of California Berkeley Human Rights Centre (Berkeley HRC) and Edge Effect;</w:t>
            </w:r>
          </w:p>
          <w:p w14:paraId="208C1414" w14:textId="77777777" w:rsidR="00CD2A1F" w:rsidRPr="00E05272" w:rsidRDefault="00CD2A1F" w:rsidP="00CD2A1F">
            <w:pPr>
              <w:pStyle w:val="ListParagraph"/>
              <w:numPr>
                <w:ilvl w:val="0"/>
                <w:numId w:val="4"/>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Establishment and coordination of an internal Save the Children Steering Group to provide oversight and accountability for project implementation;</w:t>
            </w:r>
          </w:p>
          <w:p w14:paraId="38EB1011" w14:textId="77777777" w:rsidR="00CD2A1F" w:rsidRPr="00E05272" w:rsidRDefault="00CD2A1F" w:rsidP="00CD2A1F">
            <w:pPr>
              <w:pStyle w:val="ListParagraph"/>
              <w:numPr>
                <w:ilvl w:val="0"/>
                <w:numId w:val="4"/>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Establishment and coordination of an inter-agency Task Team within the Alliance for Child Protection in Humanitarian Action Case Management Task Force to promote interagency collaboration and support technical inputs;</w:t>
            </w:r>
          </w:p>
          <w:p w14:paraId="2CD43CFC" w14:textId="77777777" w:rsidR="00CD2A1F" w:rsidRPr="00E05272" w:rsidRDefault="00CD2A1F" w:rsidP="00CD2A1F">
            <w:pPr>
              <w:pStyle w:val="ListParagraph"/>
              <w:numPr>
                <w:ilvl w:val="0"/>
                <w:numId w:val="4"/>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Establishment of a Community of Practice sharing platform for sharing learning, tools, guidance and capacity building materials;</w:t>
            </w:r>
          </w:p>
          <w:p w14:paraId="65345D19" w14:textId="77777777" w:rsidR="00CD2A1F" w:rsidRPr="00E05272" w:rsidRDefault="00CD2A1F" w:rsidP="00CD2A1F">
            <w:pPr>
              <w:pStyle w:val="ListParagraph"/>
              <w:numPr>
                <w:ilvl w:val="0"/>
                <w:numId w:val="4"/>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Acting as technical focal point for liaison with the donor and leading technical inputs to donor reports.</w:t>
            </w:r>
          </w:p>
          <w:p w14:paraId="24E461D9" w14:textId="77777777" w:rsidR="00CD2A1F" w:rsidRPr="00E05272" w:rsidRDefault="00CD2A1F" w:rsidP="00470C15">
            <w:pPr>
              <w:tabs>
                <w:tab w:val="left" w:pos="2977"/>
              </w:tabs>
              <w:spacing w:after="120"/>
              <w:jc w:val="both"/>
              <w:rPr>
                <w:rFonts w:ascii="Lato" w:hAnsi="Lato" w:cstheme="minorHAnsi"/>
                <w:b/>
                <w:bCs/>
                <w:color w:val="000000" w:themeColor="text1"/>
                <w:sz w:val="22"/>
                <w:szCs w:val="22"/>
              </w:rPr>
            </w:pPr>
            <w:r w:rsidRPr="00E05272">
              <w:rPr>
                <w:rFonts w:ascii="Lato" w:hAnsi="Lato" w:cstheme="minorHAnsi"/>
                <w:b/>
                <w:bCs/>
                <w:color w:val="000000" w:themeColor="text1"/>
                <w:sz w:val="22"/>
                <w:szCs w:val="22"/>
              </w:rPr>
              <w:t>Coordinate and manage the development of principles, guidance and tools to support the child protection case management of LGBTQI+ children and their families (25%)</w:t>
            </w:r>
          </w:p>
          <w:p w14:paraId="688A8C89" w14:textId="77777777" w:rsidR="00CD2A1F" w:rsidRPr="00E05272" w:rsidRDefault="00CD2A1F" w:rsidP="00470C15">
            <w:pPr>
              <w:tabs>
                <w:tab w:val="left" w:pos="2977"/>
              </w:tabs>
              <w:spacing w:after="120"/>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Core accountabilities include:</w:t>
            </w:r>
          </w:p>
          <w:p w14:paraId="263E4148" w14:textId="77777777" w:rsidR="00CD2A1F" w:rsidRPr="00E05272" w:rsidRDefault="00CD2A1F" w:rsidP="00CD2A1F">
            <w:pPr>
              <w:pStyle w:val="ListParagraph"/>
              <w:numPr>
                <w:ilvl w:val="0"/>
                <w:numId w:val="5"/>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Provide technical support to Berkeley HRC to undertake a scoping study on lessons learnt and good practice in the protection of LGBTQI+ children and their families in humanitarian action;</w:t>
            </w:r>
          </w:p>
          <w:p w14:paraId="3D5B3502" w14:textId="77777777" w:rsidR="00CD2A1F" w:rsidRPr="00E05272" w:rsidRDefault="00CD2A1F" w:rsidP="00CD2A1F">
            <w:pPr>
              <w:pStyle w:val="ListParagraph"/>
              <w:numPr>
                <w:ilvl w:val="0"/>
                <w:numId w:val="5"/>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Coordinate the development and review of a context analysis toolkit to guide child protection case management of LGBTQI+ children and their families in humanitarian action;</w:t>
            </w:r>
          </w:p>
          <w:p w14:paraId="6F0D5D00" w14:textId="77777777" w:rsidR="00CD2A1F" w:rsidRPr="00E05272" w:rsidRDefault="00CD2A1F" w:rsidP="00CD2A1F">
            <w:pPr>
              <w:pStyle w:val="ListParagraph"/>
              <w:numPr>
                <w:ilvl w:val="0"/>
                <w:numId w:val="5"/>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Coordinate the development and review of an inter-agency package of principles, tools and guidance on case management of LGBTQI+ children and their families in humanitarian action;</w:t>
            </w:r>
          </w:p>
          <w:p w14:paraId="6EB5A994" w14:textId="77777777" w:rsidR="00CD2A1F" w:rsidRPr="00E05272" w:rsidRDefault="00CD2A1F" w:rsidP="00CD2A1F">
            <w:pPr>
              <w:pStyle w:val="ListParagraph"/>
              <w:numPr>
                <w:ilvl w:val="0"/>
                <w:numId w:val="5"/>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Lead the adaptation of the Gender-based Violence Pocket Guide to support LGBTQI+ children and adults in humanitarian contexts that lack specialized services to meet their protection needs;</w:t>
            </w:r>
          </w:p>
          <w:p w14:paraId="4A379836" w14:textId="77777777" w:rsidR="00CD2A1F" w:rsidRPr="00E05272" w:rsidRDefault="00CD2A1F" w:rsidP="00CD2A1F">
            <w:pPr>
              <w:pStyle w:val="ListParagraph"/>
              <w:numPr>
                <w:ilvl w:val="0"/>
                <w:numId w:val="5"/>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 xml:space="preserve">Provide technical input and support to Edge Effect to develop a Massive Open Online Course on </w:t>
            </w:r>
            <w:r w:rsidRPr="00E05272">
              <w:rPr>
                <w:rFonts w:ascii="Lato" w:eastAsia="Gill Sans Infant Std" w:hAnsi="Lato" w:cstheme="minorHAnsi"/>
                <w:color w:val="000000" w:themeColor="text1"/>
                <w:kern w:val="2"/>
                <w:sz w:val="22"/>
                <w:szCs w:val="22"/>
                <w:lang w:val="en-US"/>
              </w:rPr>
              <w:t>Foundations of Supporting LGBTQI+ Children and Families in Humanitarian Contexts</w:t>
            </w:r>
          </w:p>
          <w:p w14:paraId="51D73CC9" w14:textId="77777777" w:rsidR="00CD2A1F" w:rsidRPr="00E05272" w:rsidRDefault="00CD2A1F" w:rsidP="00470C15">
            <w:pPr>
              <w:tabs>
                <w:tab w:val="left" w:pos="2977"/>
              </w:tabs>
              <w:spacing w:after="120"/>
              <w:jc w:val="both"/>
              <w:rPr>
                <w:rFonts w:ascii="Lato" w:hAnsi="Lato" w:cstheme="minorHAnsi"/>
                <w:b/>
                <w:bCs/>
                <w:color w:val="000000" w:themeColor="text1"/>
                <w:sz w:val="22"/>
                <w:szCs w:val="22"/>
              </w:rPr>
            </w:pPr>
            <w:r w:rsidRPr="00E05272">
              <w:rPr>
                <w:rFonts w:ascii="Lato" w:hAnsi="Lato" w:cstheme="minorHAnsi"/>
                <w:b/>
                <w:bCs/>
                <w:color w:val="000000" w:themeColor="text1"/>
                <w:sz w:val="22"/>
                <w:szCs w:val="22"/>
              </w:rPr>
              <w:lastRenderedPageBreak/>
              <w:t>Engage with country-level stakeholders to support piloting and dissemination of principles, guidance and tools in humanitarian crises (20%)</w:t>
            </w:r>
          </w:p>
          <w:p w14:paraId="4943DDCF" w14:textId="77777777" w:rsidR="00CD2A1F" w:rsidRPr="00E05272" w:rsidRDefault="00CD2A1F" w:rsidP="00470C15">
            <w:pPr>
              <w:tabs>
                <w:tab w:val="left" w:pos="2977"/>
              </w:tabs>
              <w:spacing w:after="120"/>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Core accountabilities include:</w:t>
            </w:r>
          </w:p>
          <w:p w14:paraId="4BA13287" w14:textId="77777777" w:rsidR="00CD2A1F" w:rsidRPr="00E05272" w:rsidRDefault="00CD2A1F" w:rsidP="00CD2A1F">
            <w:pPr>
              <w:pStyle w:val="ListParagraph"/>
              <w:numPr>
                <w:ilvl w:val="0"/>
                <w:numId w:val="6"/>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Engage with response-level child protection coordination groups to identify up to 5 countries to undertake context analysis and risk assessments to guide further work on case management with LGBTQI+ children and their families;</w:t>
            </w:r>
          </w:p>
          <w:p w14:paraId="021C4734" w14:textId="77777777" w:rsidR="00CD2A1F" w:rsidRPr="00E05272" w:rsidRDefault="00CD2A1F" w:rsidP="00CD2A1F">
            <w:pPr>
              <w:pStyle w:val="ListParagraph"/>
              <w:numPr>
                <w:ilvl w:val="0"/>
                <w:numId w:val="6"/>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Of these countries, identify and support the piloting of the principles, tools and guidance on case management of LGBTQI+ children and their families in 3 humanitarian responses;</w:t>
            </w:r>
          </w:p>
          <w:p w14:paraId="11E4476C" w14:textId="77777777" w:rsidR="00CD2A1F" w:rsidRPr="00E05272" w:rsidRDefault="00CD2A1F" w:rsidP="00CD2A1F">
            <w:pPr>
              <w:pStyle w:val="ListParagraph"/>
              <w:numPr>
                <w:ilvl w:val="0"/>
                <w:numId w:val="6"/>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Provide technical support to Berkeley HRC to gather evidence of impact through child and caregiver feedback on case management services;</w:t>
            </w:r>
          </w:p>
          <w:p w14:paraId="7D94B02F" w14:textId="77777777" w:rsidR="00CD2A1F" w:rsidRPr="00E05272" w:rsidRDefault="00CD2A1F" w:rsidP="00CD2A1F">
            <w:pPr>
              <w:pStyle w:val="ListParagraph"/>
              <w:numPr>
                <w:ilvl w:val="0"/>
                <w:numId w:val="6"/>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 xml:space="preserve">Engage national-level academic institutions and support them to generate additional evidence on </w:t>
            </w:r>
            <w:r w:rsidRPr="00E05272">
              <w:rPr>
                <w:rFonts w:ascii="Lato" w:hAnsi="Lato" w:cstheme="minorHAnsi"/>
                <w:sz w:val="22"/>
                <w:szCs w:val="22"/>
              </w:rPr>
              <w:t>how to effectively protect LGBTQI+ children in humanitarian action;</w:t>
            </w:r>
          </w:p>
          <w:p w14:paraId="4C37E386" w14:textId="77777777" w:rsidR="00CD2A1F" w:rsidRPr="00E05272" w:rsidRDefault="00CD2A1F" w:rsidP="00CD2A1F">
            <w:pPr>
              <w:pStyle w:val="ListParagraph"/>
              <w:numPr>
                <w:ilvl w:val="0"/>
                <w:numId w:val="6"/>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Use evidence to finalise the principles, tools and guidance and disseminate these to humanitarian child protection actors through the Alliance;</w:t>
            </w:r>
          </w:p>
          <w:p w14:paraId="17206D9D" w14:textId="77777777" w:rsidR="00CD2A1F" w:rsidRPr="00E05272" w:rsidRDefault="00CD2A1F" w:rsidP="00CD2A1F">
            <w:pPr>
              <w:pStyle w:val="ListParagraph"/>
              <w:numPr>
                <w:ilvl w:val="0"/>
                <w:numId w:val="6"/>
              </w:numPr>
              <w:tabs>
                <w:tab w:val="left" w:pos="2977"/>
              </w:tabs>
              <w:spacing w:after="120" w:line="259" w:lineRule="auto"/>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 xml:space="preserve">Work with partners to identify opportunities to present learning outcomes and to contribute to academic journals. </w:t>
            </w:r>
          </w:p>
        </w:tc>
      </w:tr>
      <w:tr w:rsidR="00CD2A1F" w:rsidRPr="00E05272" w14:paraId="6BADA413" w14:textId="77777777" w:rsidTr="00470C15">
        <w:tc>
          <w:tcPr>
            <w:tcW w:w="9498" w:type="dxa"/>
            <w:gridSpan w:val="3"/>
          </w:tcPr>
          <w:p w14:paraId="46271F7E" w14:textId="77777777" w:rsidR="00CD2A1F" w:rsidRPr="00E05272" w:rsidRDefault="00CD2A1F" w:rsidP="00470C15">
            <w:pPr>
              <w:snapToGrid w:val="0"/>
              <w:ind w:left="-24"/>
              <w:jc w:val="both"/>
              <w:rPr>
                <w:rFonts w:ascii="Lato" w:hAnsi="Lato" w:cstheme="minorHAnsi"/>
                <w:b/>
                <w:i/>
                <w:color w:val="FF0000"/>
                <w:sz w:val="22"/>
                <w:szCs w:val="22"/>
              </w:rPr>
            </w:pPr>
            <w:r w:rsidRPr="00E05272">
              <w:rPr>
                <w:rFonts w:ascii="Lato" w:hAnsi="Lato" w:cstheme="minorHAnsi"/>
                <w:b/>
                <w:sz w:val="22"/>
                <w:szCs w:val="22"/>
              </w:rPr>
              <w:lastRenderedPageBreak/>
              <w:t>BEHAVIOURS (Values in Practice</w:t>
            </w:r>
            <w:r w:rsidRPr="00E05272">
              <w:rPr>
                <w:rFonts w:ascii="Lato" w:hAnsi="Lato" w:cstheme="minorHAnsi"/>
                <w:sz w:val="22"/>
                <w:szCs w:val="22"/>
              </w:rPr>
              <w:t xml:space="preserve">) </w:t>
            </w:r>
          </w:p>
          <w:p w14:paraId="4CEAE2C8" w14:textId="77777777" w:rsidR="00CD5510" w:rsidRPr="00E05272" w:rsidRDefault="00CD5510" w:rsidP="00CD5510">
            <w:pPr>
              <w:ind w:left="-24"/>
              <w:rPr>
                <w:rFonts w:ascii="Lato" w:hAnsi="Lato" w:cs="Arial"/>
                <w:b/>
                <w:sz w:val="22"/>
                <w:szCs w:val="22"/>
              </w:rPr>
            </w:pPr>
            <w:r w:rsidRPr="00E05272">
              <w:rPr>
                <w:rFonts w:ascii="Lato" w:hAnsi="Lato" w:cs="Arial"/>
                <w:b/>
                <w:sz w:val="22"/>
                <w:szCs w:val="22"/>
              </w:rPr>
              <w:t>Accountability:</w:t>
            </w:r>
          </w:p>
          <w:p w14:paraId="6A0AFBEE" w14:textId="77777777" w:rsidR="00CD5510" w:rsidRPr="00E05272" w:rsidRDefault="00CD5510" w:rsidP="00CD5510">
            <w:pPr>
              <w:numPr>
                <w:ilvl w:val="0"/>
                <w:numId w:val="8"/>
              </w:numPr>
              <w:suppressAutoHyphens/>
              <w:rPr>
                <w:rFonts w:ascii="Lato" w:hAnsi="Lato" w:cs="Arial"/>
                <w:sz w:val="22"/>
                <w:szCs w:val="22"/>
              </w:rPr>
            </w:pPr>
            <w:r w:rsidRPr="00E05272">
              <w:rPr>
                <w:rFonts w:ascii="Lato" w:hAnsi="Lato" w:cs="Arial"/>
                <w:sz w:val="22"/>
                <w:szCs w:val="22"/>
              </w:rPr>
              <w:t>holds self accountable for making decisions, managing resources efficiently, achieving and role modelling Save the Children values</w:t>
            </w:r>
          </w:p>
          <w:p w14:paraId="426FBB2B" w14:textId="77777777" w:rsidR="00CD5510" w:rsidRPr="00E05272" w:rsidRDefault="00CD5510" w:rsidP="00CD5510">
            <w:pPr>
              <w:numPr>
                <w:ilvl w:val="0"/>
                <w:numId w:val="8"/>
              </w:numPr>
              <w:suppressAutoHyphens/>
              <w:rPr>
                <w:rFonts w:ascii="Lato" w:hAnsi="Lato" w:cs="Arial"/>
                <w:sz w:val="22"/>
                <w:szCs w:val="22"/>
              </w:rPr>
            </w:pPr>
            <w:proofErr w:type="gramStart"/>
            <w:r w:rsidRPr="00E05272">
              <w:rPr>
                <w:rFonts w:ascii="Lato" w:hAnsi="Lato" w:cs="Arial"/>
                <w:sz w:val="22"/>
                <w:szCs w:val="22"/>
              </w:rPr>
              <w:t>holds</w:t>
            </w:r>
            <w:proofErr w:type="gramEnd"/>
            <w:r w:rsidRPr="00E05272">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36C3510" w14:textId="77777777" w:rsidR="00CD5510" w:rsidRPr="00E05272" w:rsidRDefault="00CD5510" w:rsidP="00CD5510">
            <w:pPr>
              <w:ind w:left="-24"/>
              <w:rPr>
                <w:rFonts w:ascii="Lato" w:hAnsi="Lato" w:cs="Arial"/>
                <w:b/>
                <w:sz w:val="22"/>
                <w:szCs w:val="22"/>
              </w:rPr>
            </w:pPr>
            <w:r w:rsidRPr="00E05272">
              <w:rPr>
                <w:rFonts w:ascii="Lato" w:hAnsi="Lato" w:cs="Arial"/>
                <w:b/>
                <w:sz w:val="22"/>
                <w:szCs w:val="22"/>
              </w:rPr>
              <w:t>Ambition:</w:t>
            </w:r>
          </w:p>
          <w:p w14:paraId="793C9BD9" w14:textId="77777777" w:rsidR="00CD5510" w:rsidRPr="00E05272" w:rsidRDefault="00CD5510" w:rsidP="00CD5510">
            <w:pPr>
              <w:numPr>
                <w:ilvl w:val="0"/>
                <w:numId w:val="9"/>
              </w:numPr>
              <w:suppressAutoHyphens/>
              <w:rPr>
                <w:rFonts w:ascii="Lato" w:hAnsi="Lato" w:cs="Arial"/>
                <w:sz w:val="22"/>
                <w:szCs w:val="22"/>
              </w:rPr>
            </w:pPr>
            <w:r w:rsidRPr="00E05272">
              <w:rPr>
                <w:rFonts w:ascii="Lato" w:hAnsi="Lato" w:cs="Arial"/>
                <w:sz w:val="22"/>
                <w:szCs w:val="22"/>
              </w:rPr>
              <w:t>sets ambitious and challenging goals for themselves and their team, takes responsibility for their own personal development and encourages their team to do the same</w:t>
            </w:r>
          </w:p>
          <w:p w14:paraId="2533C966" w14:textId="77777777" w:rsidR="00CD5510" w:rsidRPr="00E05272" w:rsidRDefault="00CD5510" w:rsidP="00CD5510">
            <w:pPr>
              <w:numPr>
                <w:ilvl w:val="0"/>
                <w:numId w:val="9"/>
              </w:numPr>
              <w:suppressAutoHyphens/>
              <w:rPr>
                <w:rFonts w:ascii="Lato" w:hAnsi="Lato" w:cs="Arial"/>
                <w:sz w:val="22"/>
                <w:szCs w:val="22"/>
              </w:rPr>
            </w:pPr>
            <w:r w:rsidRPr="00E05272">
              <w:rPr>
                <w:rFonts w:ascii="Lato" w:hAnsi="Lato" w:cs="Arial"/>
                <w:sz w:val="22"/>
                <w:szCs w:val="22"/>
              </w:rPr>
              <w:t>widely shares their personal vision for Save the Children, engages and motivates others</w:t>
            </w:r>
          </w:p>
          <w:p w14:paraId="4EC20161" w14:textId="77777777" w:rsidR="00CD5510" w:rsidRPr="00E05272" w:rsidRDefault="00CD5510" w:rsidP="00CD5510">
            <w:pPr>
              <w:numPr>
                <w:ilvl w:val="0"/>
                <w:numId w:val="9"/>
              </w:numPr>
              <w:suppressAutoHyphens/>
              <w:rPr>
                <w:rFonts w:ascii="Lato" w:hAnsi="Lato" w:cs="Arial"/>
                <w:sz w:val="22"/>
                <w:szCs w:val="22"/>
              </w:rPr>
            </w:pPr>
            <w:proofErr w:type="gramStart"/>
            <w:r w:rsidRPr="00E05272">
              <w:rPr>
                <w:rFonts w:ascii="Lato" w:hAnsi="Lato" w:cs="Arial"/>
                <w:sz w:val="22"/>
                <w:szCs w:val="22"/>
              </w:rPr>
              <w:t>future</w:t>
            </w:r>
            <w:proofErr w:type="gramEnd"/>
            <w:r w:rsidRPr="00E05272">
              <w:rPr>
                <w:rFonts w:ascii="Lato" w:hAnsi="Lato" w:cs="Arial"/>
                <w:sz w:val="22"/>
                <w:szCs w:val="22"/>
              </w:rPr>
              <w:t xml:space="preserve"> orientated, thinks strategically and on a global scale.</w:t>
            </w:r>
          </w:p>
          <w:p w14:paraId="03BBD057" w14:textId="77777777" w:rsidR="00CD5510" w:rsidRPr="00E05272" w:rsidRDefault="00CD5510" w:rsidP="00CD5510">
            <w:pPr>
              <w:ind w:left="-24"/>
              <w:rPr>
                <w:rFonts w:ascii="Lato" w:hAnsi="Lato" w:cs="Arial"/>
                <w:b/>
                <w:sz w:val="22"/>
                <w:szCs w:val="22"/>
              </w:rPr>
            </w:pPr>
            <w:r w:rsidRPr="00E05272">
              <w:rPr>
                <w:rFonts w:ascii="Lato" w:hAnsi="Lato" w:cs="Arial"/>
                <w:b/>
                <w:sz w:val="22"/>
                <w:szCs w:val="22"/>
              </w:rPr>
              <w:t>Collaboration:</w:t>
            </w:r>
          </w:p>
          <w:p w14:paraId="573454DF" w14:textId="77777777" w:rsidR="00CD5510" w:rsidRPr="00E05272" w:rsidRDefault="00CD5510" w:rsidP="00CD5510">
            <w:pPr>
              <w:numPr>
                <w:ilvl w:val="0"/>
                <w:numId w:val="1"/>
              </w:numPr>
              <w:suppressAutoHyphens/>
              <w:rPr>
                <w:rFonts w:ascii="Lato" w:hAnsi="Lato" w:cs="Arial"/>
                <w:sz w:val="22"/>
                <w:szCs w:val="22"/>
              </w:rPr>
            </w:pPr>
            <w:r w:rsidRPr="00E05272">
              <w:rPr>
                <w:rFonts w:ascii="Lato" w:hAnsi="Lato" w:cs="Arial"/>
                <w:sz w:val="22"/>
                <w:szCs w:val="22"/>
              </w:rPr>
              <w:t>builds and maintains effective relationships, with their team, colleagues, Members and external partners and supporters</w:t>
            </w:r>
          </w:p>
          <w:p w14:paraId="0DA8E2DB" w14:textId="77777777" w:rsidR="00CD5510" w:rsidRPr="00E05272" w:rsidRDefault="00CD5510" w:rsidP="00CD5510">
            <w:pPr>
              <w:numPr>
                <w:ilvl w:val="0"/>
                <w:numId w:val="1"/>
              </w:numPr>
              <w:suppressAutoHyphens/>
              <w:rPr>
                <w:rFonts w:ascii="Lato" w:hAnsi="Lato" w:cs="Arial"/>
                <w:sz w:val="22"/>
                <w:szCs w:val="22"/>
              </w:rPr>
            </w:pPr>
            <w:r w:rsidRPr="00E05272">
              <w:rPr>
                <w:rFonts w:ascii="Lato" w:hAnsi="Lato" w:cs="Arial"/>
                <w:sz w:val="22"/>
                <w:szCs w:val="22"/>
              </w:rPr>
              <w:t>values diversity, sees it as a source of competitive strength</w:t>
            </w:r>
          </w:p>
          <w:p w14:paraId="231397FE" w14:textId="77777777" w:rsidR="00CD5510" w:rsidRPr="00E05272" w:rsidRDefault="00CD5510" w:rsidP="00CD5510">
            <w:pPr>
              <w:numPr>
                <w:ilvl w:val="0"/>
                <w:numId w:val="7"/>
              </w:numPr>
              <w:suppressAutoHyphens/>
              <w:rPr>
                <w:rFonts w:ascii="Lato" w:hAnsi="Lato" w:cs="Arial"/>
                <w:sz w:val="22"/>
                <w:szCs w:val="22"/>
              </w:rPr>
            </w:pPr>
            <w:proofErr w:type="gramStart"/>
            <w:r w:rsidRPr="00E05272">
              <w:rPr>
                <w:rFonts w:ascii="Lato" w:hAnsi="Lato" w:cs="Arial"/>
                <w:sz w:val="22"/>
                <w:szCs w:val="22"/>
              </w:rPr>
              <w:t>approachable</w:t>
            </w:r>
            <w:proofErr w:type="gramEnd"/>
            <w:r w:rsidRPr="00E05272">
              <w:rPr>
                <w:rFonts w:ascii="Lato" w:hAnsi="Lato" w:cs="Arial"/>
                <w:sz w:val="22"/>
                <w:szCs w:val="22"/>
              </w:rPr>
              <w:t>, good listener, easy to talk to.</w:t>
            </w:r>
          </w:p>
          <w:p w14:paraId="41BABA19" w14:textId="77777777" w:rsidR="00CD5510" w:rsidRPr="00E05272" w:rsidRDefault="00CD5510" w:rsidP="00CD5510">
            <w:pPr>
              <w:ind w:left="-24"/>
              <w:rPr>
                <w:rFonts w:ascii="Lato" w:hAnsi="Lato" w:cs="Arial"/>
                <w:b/>
                <w:sz w:val="22"/>
                <w:szCs w:val="22"/>
              </w:rPr>
            </w:pPr>
            <w:r w:rsidRPr="00E05272">
              <w:rPr>
                <w:rFonts w:ascii="Lato" w:hAnsi="Lato" w:cs="Arial"/>
                <w:b/>
                <w:sz w:val="22"/>
                <w:szCs w:val="22"/>
              </w:rPr>
              <w:t>Creativity:</w:t>
            </w:r>
          </w:p>
          <w:p w14:paraId="33822E38" w14:textId="77777777" w:rsidR="00CD5510" w:rsidRPr="00E05272" w:rsidRDefault="00CD5510" w:rsidP="00CD5510">
            <w:pPr>
              <w:numPr>
                <w:ilvl w:val="0"/>
                <w:numId w:val="1"/>
              </w:numPr>
              <w:suppressAutoHyphens/>
              <w:rPr>
                <w:rFonts w:ascii="Lato" w:hAnsi="Lato" w:cs="Arial"/>
                <w:sz w:val="22"/>
                <w:szCs w:val="22"/>
              </w:rPr>
            </w:pPr>
            <w:r w:rsidRPr="00E05272">
              <w:rPr>
                <w:rFonts w:ascii="Lato" w:hAnsi="Lato" w:cs="Arial"/>
                <w:sz w:val="22"/>
                <w:szCs w:val="22"/>
              </w:rPr>
              <w:t>develops and encourages new and innovative solutions</w:t>
            </w:r>
          </w:p>
          <w:p w14:paraId="2433EBB8" w14:textId="77777777" w:rsidR="00CD5510" w:rsidRPr="00E05272" w:rsidRDefault="00CD5510" w:rsidP="00CD5510">
            <w:pPr>
              <w:numPr>
                <w:ilvl w:val="0"/>
                <w:numId w:val="1"/>
              </w:numPr>
              <w:suppressAutoHyphens/>
              <w:rPr>
                <w:rFonts w:ascii="Lato" w:hAnsi="Lato" w:cs="Arial"/>
                <w:sz w:val="22"/>
                <w:szCs w:val="22"/>
              </w:rPr>
            </w:pPr>
            <w:proofErr w:type="gramStart"/>
            <w:r w:rsidRPr="00E05272">
              <w:rPr>
                <w:rFonts w:ascii="Lato" w:hAnsi="Lato" w:cs="Arial"/>
                <w:sz w:val="22"/>
                <w:szCs w:val="22"/>
              </w:rPr>
              <w:t>willing</w:t>
            </w:r>
            <w:proofErr w:type="gramEnd"/>
            <w:r w:rsidRPr="00E05272">
              <w:rPr>
                <w:rFonts w:ascii="Lato" w:hAnsi="Lato" w:cs="Arial"/>
                <w:sz w:val="22"/>
                <w:szCs w:val="22"/>
              </w:rPr>
              <w:t xml:space="preserve"> to take disciplined risks.</w:t>
            </w:r>
          </w:p>
          <w:p w14:paraId="76E6AF5B" w14:textId="77777777" w:rsidR="00CD5510" w:rsidRPr="00E05272" w:rsidRDefault="00CD5510" w:rsidP="00CD5510">
            <w:pPr>
              <w:ind w:left="-24"/>
              <w:rPr>
                <w:rFonts w:ascii="Lato" w:hAnsi="Lato" w:cs="Arial"/>
                <w:b/>
                <w:sz w:val="22"/>
                <w:szCs w:val="22"/>
              </w:rPr>
            </w:pPr>
            <w:r w:rsidRPr="00E05272">
              <w:rPr>
                <w:rFonts w:ascii="Lato" w:hAnsi="Lato" w:cs="Arial"/>
                <w:b/>
                <w:sz w:val="22"/>
                <w:szCs w:val="22"/>
              </w:rPr>
              <w:t>Integrity:</w:t>
            </w:r>
          </w:p>
          <w:p w14:paraId="0AE23B23" w14:textId="77777777" w:rsidR="00CD5510" w:rsidRPr="00E05272" w:rsidRDefault="00CD5510" w:rsidP="00CD5510">
            <w:pPr>
              <w:numPr>
                <w:ilvl w:val="0"/>
                <w:numId w:val="1"/>
              </w:numPr>
              <w:suppressAutoHyphens/>
              <w:rPr>
                <w:rFonts w:ascii="Lato" w:hAnsi="Lato" w:cs="Arial"/>
                <w:sz w:val="22"/>
                <w:szCs w:val="22"/>
              </w:rPr>
            </w:pPr>
            <w:r w:rsidRPr="00E05272">
              <w:rPr>
                <w:rFonts w:ascii="Lato" w:hAnsi="Lato" w:cs="Arial"/>
                <w:sz w:val="22"/>
                <w:szCs w:val="22"/>
              </w:rPr>
              <w:t>honest, encourages openness and transparency; demonstrates highest levels of integrity</w:t>
            </w:r>
          </w:p>
          <w:p w14:paraId="79A936F1" w14:textId="77777777" w:rsidR="00CD2A1F" w:rsidRPr="00E05272" w:rsidRDefault="00CD2A1F" w:rsidP="00470C15">
            <w:pPr>
              <w:suppressAutoHyphens/>
              <w:ind w:left="696"/>
              <w:jc w:val="both"/>
              <w:rPr>
                <w:rFonts w:ascii="Lato" w:hAnsi="Lato" w:cstheme="minorHAnsi"/>
                <w:sz w:val="22"/>
                <w:szCs w:val="22"/>
              </w:rPr>
            </w:pPr>
          </w:p>
        </w:tc>
      </w:tr>
      <w:tr w:rsidR="00CD2A1F" w:rsidRPr="00E05272" w14:paraId="28CDA7E4" w14:textId="77777777" w:rsidTr="00470C15">
        <w:tc>
          <w:tcPr>
            <w:tcW w:w="9498" w:type="dxa"/>
            <w:gridSpan w:val="3"/>
          </w:tcPr>
          <w:p w14:paraId="7F7C55B9" w14:textId="0F43486D" w:rsidR="00CD2A1F" w:rsidRPr="00E05272" w:rsidRDefault="00CD2A1F" w:rsidP="00470C15">
            <w:pPr>
              <w:jc w:val="both"/>
              <w:rPr>
                <w:rFonts w:ascii="Lato" w:hAnsi="Lato" w:cstheme="minorHAnsi"/>
                <w:b/>
                <w:bCs/>
                <w:sz w:val="22"/>
                <w:szCs w:val="22"/>
              </w:rPr>
            </w:pPr>
            <w:r w:rsidRPr="00E05272">
              <w:rPr>
                <w:rFonts w:ascii="Lato" w:hAnsi="Lato" w:cstheme="minorHAnsi"/>
                <w:b/>
                <w:bCs/>
                <w:sz w:val="22"/>
                <w:szCs w:val="22"/>
              </w:rPr>
              <w:t>KEY COMPETENCIES</w:t>
            </w:r>
          </w:p>
          <w:p w14:paraId="233E3C77" w14:textId="77777777" w:rsidR="00CD5510" w:rsidRPr="00E05272" w:rsidRDefault="00CD5510" w:rsidP="00470C15">
            <w:pPr>
              <w:jc w:val="both"/>
              <w:rPr>
                <w:rFonts w:ascii="Lato" w:hAnsi="Lato" w:cstheme="minorHAnsi"/>
                <w:b/>
                <w:bCs/>
                <w:sz w:val="22"/>
                <w:szCs w:val="22"/>
              </w:rPr>
            </w:pPr>
          </w:p>
          <w:p w14:paraId="5FF19EE7" w14:textId="77777777" w:rsidR="00CD2A1F" w:rsidRPr="00E05272" w:rsidRDefault="00CD2A1F" w:rsidP="00470C15">
            <w:pPr>
              <w:jc w:val="both"/>
              <w:rPr>
                <w:rFonts w:ascii="Lato" w:hAnsi="Lato" w:cstheme="minorHAnsi"/>
                <w:b/>
                <w:bCs/>
                <w:sz w:val="22"/>
                <w:szCs w:val="22"/>
              </w:rPr>
            </w:pPr>
            <w:r w:rsidRPr="00E05272">
              <w:rPr>
                <w:rFonts w:ascii="Lato" w:hAnsi="Lato" w:cstheme="minorHAnsi"/>
                <w:b/>
                <w:bCs/>
                <w:sz w:val="22"/>
                <w:szCs w:val="22"/>
              </w:rPr>
              <w:t>Generic Competencies:</w:t>
            </w:r>
          </w:p>
          <w:p w14:paraId="5369F822"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Influences setting of and adherence to international standards, principles and codes;</w:t>
            </w:r>
          </w:p>
          <w:p w14:paraId="2360FFA1"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Champions the use of evidence to influence policies and practice;</w:t>
            </w:r>
          </w:p>
          <w:p w14:paraId="5B3B7DB5"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Drives an enabling environment for gender equality and inclusion, and prioritising the most deprived and marginalised children;</w:t>
            </w:r>
          </w:p>
          <w:p w14:paraId="145267C4" w14:textId="095A7C94"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 xml:space="preserve">Leads formal and informal engagement with diverse, strategic partners based on shared, </w:t>
            </w:r>
            <w:r w:rsidR="00E05272" w:rsidRPr="00E05272">
              <w:rPr>
                <w:rFonts w:ascii="Lato" w:eastAsia="Gill Sans Infant Std" w:hAnsi="Lato" w:cstheme="minorHAnsi"/>
                <w:color w:val="000000" w:themeColor="text1"/>
                <w:sz w:val="22"/>
                <w:szCs w:val="22"/>
              </w:rPr>
              <w:t>long-term</w:t>
            </w:r>
            <w:r w:rsidRPr="00E05272">
              <w:rPr>
                <w:rFonts w:ascii="Lato" w:eastAsia="Gill Sans Infant Std" w:hAnsi="Lato" w:cstheme="minorHAnsi"/>
                <w:color w:val="000000" w:themeColor="text1"/>
                <w:sz w:val="22"/>
                <w:szCs w:val="22"/>
              </w:rPr>
              <w:t xml:space="preserve"> visions;</w:t>
            </w:r>
          </w:p>
          <w:p w14:paraId="386389F8"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lastRenderedPageBreak/>
              <w:t>Champions and drives risk management approaches;</w:t>
            </w:r>
          </w:p>
          <w:p w14:paraId="5DB0B8AC"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Takes informed and calculated risks in response to emerging threats to children’s rights and changing environments;</w:t>
            </w:r>
          </w:p>
          <w:p w14:paraId="5FA9868F"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Utilises being part of a global movement to promote change in the policy and public sphere on child related issues;</w:t>
            </w:r>
          </w:p>
          <w:p w14:paraId="059C0142"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Plans, prioritises and performs tasks well without needing direct supervision;</w:t>
            </w:r>
          </w:p>
          <w:p w14:paraId="4CE8E444"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Delivers timely and appropriate results using available resources;</w:t>
            </w:r>
          </w:p>
          <w:p w14:paraId="1D89F3C0"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Seeks out and applies successful ideas from others to overcome challenges.</w:t>
            </w:r>
          </w:p>
          <w:p w14:paraId="5058C791" w14:textId="77777777" w:rsidR="00CD2A1F" w:rsidRPr="00E05272" w:rsidRDefault="00CD2A1F" w:rsidP="00470C15">
            <w:pPr>
              <w:jc w:val="both"/>
              <w:rPr>
                <w:rFonts w:ascii="Lato" w:hAnsi="Lato" w:cstheme="minorHAnsi"/>
                <w:b/>
                <w:bCs/>
                <w:sz w:val="22"/>
                <w:szCs w:val="22"/>
                <w:highlight w:val="yellow"/>
              </w:rPr>
            </w:pPr>
          </w:p>
          <w:p w14:paraId="78ECF611" w14:textId="77777777" w:rsidR="00CD2A1F" w:rsidRPr="00E05272" w:rsidRDefault="00CD2A1F" w:rsidP="00470C15">
            <w:pPr>
              <w:jc w:val="both"/>
              <w:rPr>
                <w:rFonts w:ascii="Lato" w:hAnsi="Lato" w:cstheme="minorHAnsi"/>
                <w:b/>
                <w:bCs/>
                <w:sz w:val="22"/>
                <w:szCs w:val="22"/>
              </w:rPr>
            </w:pPr>
            <w:r w:rsidRPr="00E05272">
              <w:rPr>
                <w:rFonts w:ascii="Lato" w:hAnsi="Lato" w:cstheme="minorHAnsi"/>
                <w:b/>
                <w:bCs/>
                <w:sz w:val="22"/>
                <w:szCs w:val="22"/>
              </w:rPr>
              <w:t>Technical Competencies:</w:t>
            </w:r>
          </w:p>
          <w:p w14:paraId="35A8D5B3"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Leverages resources and opportunities for policy and practice change to strengthen the child protection system;</w:t>
            </w:r>
          </w:p>
          <w:p w14:paraId="291B00AE"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Leads collaboration with other agencies to resource and implement strategies that protect children and challenge harmful practice;</w:t>
            </w:r>
          </w:p>
          <w:p w14:paraId="0BF5E616" w14:textId="77777777" w:rsidR="00CD2A1F" w:rsidRPr="00E05272" w:rsidRDefault="00CD2A1F" w:rsidP="00CD2A1F">
            <w:pPr>
              <w:pStyle w:val="ListParagraph"/>
              <w:numPr>
                <w:ilvl w:val="0"/>
                <w:numId w:val="2"/>
              </w:numPr>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Champions best practice in establishing child protection case management using a system strengthening approach;</w:t>
            </w:r>
          </w:p>
          <w:p w14:paraId="7388896B"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Sets standards for intersectional gender analysis;</w:t>
            </w:r>
          </w:p>
          <w:p w14:paraId="580CCD3F"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Leads collaboration with partners to resource and implement quality standards for gender transformative programming;</w:t>
            </w:r>
          </w:p>
          <w:p w14:paraId="7E2AE1FE"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Drives best practice standards for gender equality capacity strengthening;</w:t>
            </w:r>
          </w:p>
          <w:p w14:paraId="4E2CD3FE" w14:textId="77777777" w:rsidR="00CD2A1F" w:rsidRPr="00E05272" w:rsidRDefault="00CD2A1F" w:rsidP="00CD2A1F">
            <w:pPr>
              <w:pStyle w:val="ListParagraph"/>
              <w:numPr>
                <w:ilvl w:val="0"/>
                <w:numId w:val="2"/>
              </w:numPr>
              <w:tabs>
                <w:tab w:val="left" w:pos="2977"/>
              </w:tabs>
              <w:jc w:val="both"/>
              <w:rPr>
                <w:rFonts w:ascii="Lato" w:eastAsia="Gill Sans Infant Std" w:hAnsi="Lato" w:cstheme="minorHAnsi"/>
                <w:color w:val="000000" w:themeColor="text1"/>
                <w:sz w:val="22"/>
                <w:szCs w:val="22"/>
              </w:rPr>
            </w:pPr>
            <w:r w:rsidRPr="00E05272">
              <w:rPr>
                <w:rFonts w:ascii="Lato" w:eastAsia="Gill Sans Infant Std" w:hAnsi="Lato" w:cstheme="minorHAnsi"/>
                <w:color w:val="000000" w:themeColor="text1"/>
                <w:sz w:val="22"/>
                <w:szCs w:val="22"/>
              </w:rPr>
              <w:t>Promotes innovative tools, resources and the learnings they bring, strengthening global evidence on approaches to advance gender equality.</w:t>
            </w:r>
          </w:p>
        </w:tc>
      </w:tr>
      <w:tr w:rsidR="00CD2A1F" w:rsidRPr="00E05272" w14:paraId="4EC45CB7" w14:textId="77777777" w:rsidTr="00470C15">
        <w:trPr>
          <w:trHeight w:val="445"/>
        </w:trPr>
        <w:tc>
          <w:tcPr>
            <w:tcW w:w="9498" w:type="dxa"/>
            <w:gridSpan w:val="3"/>
            <w:tcBorders>
              <w:bottom w:val="single" w:sz="8" w:space="0" w:color="000000" w:themeColor="text1"/>
            </w:tcBorders>
          </w:tcPr>
          <w:p w14:paraId="74AEAFE4" w14:textId="68B3A7CA" w:rsidR="00CD2A1F" w:rsidRPr="00E05272" w:rsidRDefault="00CD2A1F" w:rsidP="00470C15">
            <w:pPr>
              <w:jc w:val="both"/>
              <w:rPr>
                <w:rFonts w:ascii="Lato" w:hAnsi="Lato" w:cstheme="minorHAnsi"/>
                <w:b/>
                <w:sz w:val="22"/>
                <w:szCs w:val="22"/>
              </w:rPr>
            </w:pPr>
            <w:r w:rsidRPr="00E05272">
              <w:rPr>
                <w:rFonts w:ascii="Lato" w:hAnsi="Lato" w:cstheme="minorHAnsi"/>
                <w:b/>
                <w:sz w:val="22"/>
                <w:szCs w:val="22"/>
              </w:rPr>
              <w:lastRenderedPageBreak/>
              <w:t>EXPERIENCE AND SKILLS</w:t>
            </w:r>
          </w:p>
          <w:p w14:paraId="4F38E44C" w14:textId="77777777" w:rsidR="00CD5510" w:rsidRPr="00E05272" w:rsidRDefault="00CD5510" w:rsidP="00470C15">
            <w:pPr>
              <w:jc w:val="both"/>
              <w:rPr>
                <w:rFonts w:ascii="Lato" w:hAnsi="Lato" w:cstheme="minorHAnsi"/>
                <w:b/>
                <w:sz w:val="22"/>
                <w:szCs w:val="22"/>
              </w:rPr>
            </w:pPr>
          </w:p>
          <w:p w14:paraId="6C9EA467" w14:textId="77777777" w:rsidR="00CD2A1F" w:rsidRPr="00E05272" w:rsidRDefault="00CD2A1F" w:rsidP="00470C15">
            <w:pPr>
              <w:jc w:val="both"/>
              <w:rPr>
                <w:rFonts w:ascii="Lato" w:hAnsi="Lato" w:cstheme="minorHAnsi"/>
                <w:b/>
                <w:bCs/>
                <w:sz w:val="22"/>
                <w:szCs w:val="22"/>
              </w:rPr>
            </w:pPr>
            <w:r w:rsidRPr="00E05272">
              <w:rPr>
                <w:rFonts w:ascii="Lato" w:hAnsi="Lato" w:cstheme="minorHAnsi"/>
                <w:b/>
                <w:bCs/>
                <w:sz w:val="22"/>
                <w:szCs w:val="22"/>
              </w:rPr>
              <w:t>Essential</w:t>
            </w:r>
          </w:p>
          <w:p w14:paraId="1D15F6E3" w14:textId="77777777" w:rsidR="00CD2A1F" w:rsidRPr="00E05272" w:rsidRDefault="00CD2A1F" w:rsidP="00CD2A1F">
            <w:pPr>
              <w:pStyle w:val="ListParagraph"/>
              <w:numPr>
                <w:ilvl w:val="0"/>
                <w:numId w:val="1"/>
              </w:numPr>
              <w:ind w:left="360"/>
              <w:rPr>
                <w:rFonts w:ascii="Lato" w:hAnsi="Lato" w:cstheme="minorHAnsi"/>
                <w:color w:val="000000" w:themeColor="text1"/>
                <w:sz w:val="22"/>
                <w:szCs w:val="22"/>
              </w:rPr>
            </w:pPr>
            <w:r w:rsidRPr="00E05272">
              <w:rPr>
                <w:rFonts w:ascii="Lato" w:hAnsi="Lato" w:cstheme="minorHAnsi"/>
                <w:color w:val="000000" w:themeColor="text1"/>
                <w:sz w:val="22"/>
                <w:szCs w:val="22"/>
              </w:rPr>
              <w:t>Extensive experience of working in humanitarian responses</w:t>
            </w:r>
          </w:p>
          <w:p w14:paraId="6EAD127E" w14:textId="77777777" w:rsidR="00CD2A1F" w:rsidRPr="00E05272" w:rsidRDefault="00CD2A1F" w:rsidP="00CD2A1F">
            <w:pPr>
              <w:pStyle w:val="ListParagraph"/>
              <w:numPr>
                <w:ilvl w:val="0"/>
                <w:numId w:val="1"/>
              </w:numPr>
              <w:ind w:left="360"/>
              <w:rPr>
                <w:rFonts w:ascii="Lato" w:hAnsi="Lato" w:cstheme="minorHAnsi"/>
                <w:color w:val="000000" w:themeColor="text1"/>
                <w:sz w:val="22"/>
                <w:szCs w:val="22"/>
              </w:rPr>
            </w:pPr>
            <w:r w:rsidRPr="00E05272">
              <w:rPr>
                <w:rFonts w:ascii="Lato" w:hAnsi="Lato" w:cstheme="minorHAnsi"/>
                <w:color w:val="000000" w:themeColor="text1"/>
                <w:sz w:val="22"/>
                <w:szCs w:val="22"/>
              </w:rPr>
              <w:t xml:space="preserve">Significant experience of working in child protection, including in case management programming in humanitarian crises, </w:t>
            </w:r>
            <w:r w:rsidRPr="00E05272">
              <w:rPr>
                <w:rFonts w:ascii="Lato" w:hAnsi="Lato" w:cstheme="minorHAnsi"/>
                <w:sz w:val="22"/>
                <w:szCs w:val="22"/>
              </w:rPr>
              <w:t>in line with inter-agency minimum standards and guidelines</w:t>
            </w:r>
          </w:p>
          <w:p w14:paraId="00AB562D" w14:textId="77777777" w:rsidR="00CD2A1F" w:rsidRPr="00E05272" w:rsidRDefault="00CD2A1F" w:rsidP="00CD2A1F">
            <w:pPr>
              <w:pStyle w:val="ListParagraph"/>
              <w:numPr>
                <w:ilvl w:val="0"/>
                <w:numId w:val="1"/>
              </w:numPr>
              <w:ind w:left="360"/>
              <w:rPr>
                <w:rFonts w:ascii="Lato" w:hAnsi="Lato" w:cstheme="minorHAnsi"/>
                <w:color w:val="000000" w:themeColor="text1"/>
                <w:sz w:val="22"/>
                <w:szCs w:val="22"/>
              </w:rPr>
            </w:pPr>
            <w:r w:rsidRPr="00E05272">
              <w:rPr>
                <w:rFonts w:ascii="Lato" w:hAnsi="Lato" w:cstheme="minorHAnsi"/>
                <w:color w:val="000000" w:themeColor="text1"/>
                <w:sz w:val="22"/>
                <w:szCs w:val="22"/>
              </w:rPr>
              <w:t>Proven commitment to LGBTQI+ rights and inclusion</w:t>
            </w:r>
          </w:p>
          <w:p w14:paraId="4815AD20" w14:textId="77777777" w:rsidR="00CD2A1F" w:rsidRPr="00E05272" w:rsidRDefault="00CD2A1F" w:rsidP="00CD2A1F">
            <w:pPr>
              <w:pStyle w:val="ListParagraph"/>
              <w:numPr>
                <w:ilvl w:val="0"/>
                <w:numId w:val="1"/>
              </w:numPr>
              <w:ind w:left="360"/>
              <w:rPr>
                <w:rFonts w:ascii="Lato" w:hAnsi="Lato" w:cstheme="minorHAnsi"/>
                <w:color w:val="000000" w:themeColor="text1"/>
                <w:sz w:val="22"/>
                <w:szCs w:val="22"/>
              </w:rPr>
            </w:pPr>
            <w:r w:rsidRPr="00E05272">
              <w:rPr>
                <w:rFonts w:ascii="Lato" w:hAnsi="Lato" w:cstheme="minorHAnsi"/>
                <w:color w:val="000000" w:themeColor="text1"/>
                <w:sz w:val="22"/>
                <w:szCs w:val="22"/>
              </w:rPr>
              <w:t xml:space="preserve">Experience in designing and implementing LGBTQI+ inclusive programming </w:t>
            </w:r>
          </w:p>
          <w:p w14:paraId="029F87FC" w14:textId="77777777" w:rsidR="00CD2A1F" w:rsidRPr="00E05272" w:rsidRDefault="00CD2A1F" w:rsidP="00CD2A1F">
            <w:pPr>
              <w:pStyle w:val="ListParagraph"/>
              <w:numPr>
                <w:ilvl w:val="0"/>
                <w:numId w:val="1"/>
              </w:numPr>
              <w:ind w:left="360"/>
              <w:rPr>
                <w:rFonts w:ascii="Lato" w:hAnsi="Lato" w:cstheme="minorHAnsi"/>
                <w:color w:val="000000" w:themeColor="text1"/>
                <w:sz w:val="22"/>
                <w:szCs w:val="22"/>
              </w:rPr>
            </w:pPr>
            <w:r w:rsidRPr="00E05272">
              <w:rPr>
                <w:rFonts w:ascii="Lato" w:hAnsi="Lato" w:cstheme="minorHAnsi"/>
                <w:color w:val="000000" w:themeColor="text1"/>
                <w:sz w:val="22"/>
                <w:szCs w:val="22"/>
              </w:rPr>
              <w:t>Experience of managing or coordinating interagency initiatives</w:t>
            </w:r>
          </w:p>
          <w:p w14:paraId="3D3087F1" w14:textId="77777777" w:rsidR="00CD2A1F" w:rsidRPr="00E05272" w:rsidRDefault="00CD2A1F" w:rsidP="00CD2A1F">
            <w:pPr>
              <w:pStyle w:val="ListParagraph"/>
              <w:numPr>
                <w:ilvl w:val="0"/>
                <w:numId w:val="1"/>
              </w:numPr>
              <w:ind w:left="360"/>
              <w:rPr>
                <w:rFonts w:ascii="Lato" w:hAnsi="Lato" w:cstheme="minorHAnsi"/>
                <w:color w:val="000000" w:themeColor="text1"/>
                <w:sz w:val="22"/>
                <w:szCs w:val="22"/>
              </w:rPr>
            </w:pPr>
            <w:r w:rsidRPr="00E05272">
              <w:rPr>
                <w:rFonts w:ascii="Lato" w:hAnsi="Lato" w:cstheme="minorHAnsi"/>
                <w:color w:val="000000" w:themeColor="text1"/>
                <w:sz w:val="22"/>
                <w:szCs w:val="22"/>
              </w:rPr>
              <w:t>Strong and proven project management skills</w:t>
            </w:r>
          </w:p>
          <w:p w14:paraId="09DC07A4" w14:textId="77777777" w:rsidR="00CD2A1F" w:rsidRPr="00E05272" w:rsidRDefault="00CD2A1F" w:rsidP="00CD2A1F">
            <w:pPr>
              <w:pStyle w:val="ListParagraph"/>
              <w:numPr>
                <w:ilvl w:val="0"/>
                <w:numId w:val="1"/>
              </w:numPr>
              <w:ind w:left="360"/>
              <w:rPr>
                <w:rFonts w:ascii="Lato" w:hAnsi="Lato" w:cstheme="minorHAnsi"/>
                <w:color w:val="000000" w:themeColor="text1"/>
                <w:sz w:val="22"/>
                <w:szCs w:val="22"/>
              </w:rPr>
            </w:pPr>
            <w:r w:rsidRPr="00E05272">
              <w:rPr>
                <w:rFonts w:ascii="Lato" w:hAnsi="Lato" w:cstheme="minorHAnsi"/>
                <w:color w:val="000000" w:themeColor="text1"/>
                <w:sz w:val="22"/>
                <w:szCs w:val="22"/>
              </w:rPr>
              <w:t>Highly organised with strong coordination skills</w:t>
            </w:r>
          </w:p>
          <w:p w14:paraId="591DD5F3" w14:textId="77777777" w:rsidR="00CD2A1F" w:rsidRPr="00E05272" w:rsidRDefault="00CD2A1F" w:rsidP="00CD2A1F">
            <w:pPr>
              <w:pStyle w:val="ListParagraph"/>
              <w:numPr>
                <w:ilvl w:val="0"/>
                <w:numId w:val="1"/>
              </w:numPr>
              <w:ind w:left="360"/>
              <w:rPr>
                <w:rFonts w:ascii="Lato" w:hAnsi="Lato" w:cstheme="minorHAnsi"/>
                <w:color w:val="000000" w:themeColor="text1"/>
                <w:sz w:val="22"/>
                <w:szCs w:val="22"/>
              </w:rPr>
            </w:pPr>
            <w:r w:rsidRPr="00E05272">
              <w:rPr>
                <w:rFonts w:ascii="Lato" w:hAnsi="Lato" w:cstheme="minorHAnsi"/>
                <w:color w:val="000000" w:themeColor="text1"/>
                <w:sz w:val="22"/>
                <w:szCs w:val="22"/>
              </w:rPr>
              <w:t xml:space="preserve">Strong </w:t>
            </w:r>
            <w:r w:rsidRPr="00E05272">
              <w:rPr>
                <w:rFonts w:ascii="Lato" w:eastAsia="Gill Sans MT" w:hAnsi="Lato" w:cstheme="minorHAnsi"/>
                <w:sz w:val="22"/>
                <w:szCs w:val="22"/>
              </w:rPr>
              <w:t xml:space="preserve">interpersonal and communication skills, </w:t>
            </w:r>
            <w:r w:rsidRPr="00E05272">
              <w:rPr>
                <w:rFonts w:ascii="Lato" w:hAnsi="Lato" w:cstheme="minorHAnsi"/>
                <w:sz w:val="22"/>
                <w:szCs w:val="22"/>
                <w:lang w:eastAsia="en-GB"/>
              </w:rPr>
              <w:t xml:space="preserve">with the ability to work effectively across diverse (inter)agency stakeholders </w:t>
            </w:r>
          </w:p>
          <w:p w14:paraId="68A5AE08" w14:textId="77777777" w:rsidR="00CD2A1F" w:rsidRPr="00E05272" w:rsidRDefault="00CD2A1F" w:rsidP="00CD2A1F">
            <w:pPr>
              <w:pStyle w:val="ListParagraph"/>
              <w:numPr>
                <w:ilvl w:val="0"/>
                <w:numId w:val="1"/>
              </w:numPr>
              <w:ind w:left="360"/>
              <w:rPr>
                <w:rFonts w:ascii="Lato" w:hAnsi="Lato" w:cstheme="minorHAnsi"/>
                <w:color w:val="000000" w:themeColor="text1"/>
                <w:sz w:val="22"/>
                <w:szCs w:val="22"/>
              </w:rPr>
            </w:pPr>
            <w:r w:rsidRPr="00E05272">
              <w:rPr>
                <w:rFonts w:ascii="Lato" w:hAnsi="Lato" w:cstheme="minorHAnsi"/>
                <w:color w:val="000000" w:themeColor="text1"/>
                <w:sz w:val="22"/>
                <w:szCs w:val="22"/>
              </w:rPr>
              <w:t>Collaboration skills; ability to balance relationships and share information</w:t>
            </w:r>
          </w:p>
          <w:p w14:paraId="3712522E" w14:textId="77777777" w:rsidR="00CD2A1F" w:rsidRPr="00E05272" w:rsidRDefault="00CD2A1F" w:rsidP="00CD2A1F">
            <w:pPr>
              <w:pStyle w:val="ListParagraph"/>
              <w:numPr>
                <w:ilvl w:val="0"/>
                <w:numId w:val="1"/>
              </w:numPr>
              <w:ind w:left="360"/>
              <w:rPr>
                <w:rFonts w:ascii="Lato" w:hAnsi="Lato" w:cstheme="minorHAnsi"/>
                <w:color w:val="000000" w:themeColor="text1"/>
                <w:sz w:val="22"/>
                <w:szCs w:val="22"/>
              </w:rPr>
            </w:pPr>
            <w:r w:rsidRPr="00E05272">
              <w:rPr>
                <w:rFonts w:ascii="Lato" w:hAnsi="Lato" w:cstheme="minorHAnsi"/>
                <w:color w:val="000000" w:themeColor="text1"/>
                <w:sz w:val="22"/>
                <w:szCs w:val="22"/>
              </w:rPr>
              <w:t>Analytical skills to identify key points from complex material </w:t>
            </w:r>
          </w:p>
          <w:p w14:paraId="54E7906B" w14:textId="77777777" w:rsidR="00CD2A1F" w:rsidRPr="00E05272" w:rsidRDefault="00CD2A1F" w:rsidP="00CD2A1F">
            <w:pPr>
              <w:pStyle w:val="ListParagraph"/>
              <w:numPr>
                <w:ilvl w:val="0"/>
                <w:numId w:val="1"/>
              </w:numPr>
              <w:ind w:left="360"/>
              <w:rPr>
                <w:rFonts w:ascii="Lato" w:hAnsi="Lato" w:cstheme="minorHAnsi"/>
                <w:color w:val="000000" w:themeColor="text1"/>
                <w:sz w:val="22"/>
                <w:szCs w:val="22"/>
              </w:rPr>
            </w:pPr>
            <w:r w:rsidRPr="00E05272">
              <w:rPr>
                <w:rFonts w:ascii="Lato" w:hAnsi="Lato" w:cstheme="minorHAnsi"/>
                <w:color w:val="000000" w:themeColor="text1"/>
                <w:sz w:val="22"/>
                <w:szCs w:val="22"/>
              </w:rPr>
              <w:t>Professional proficiency in spoken and written English </w:t>
            </w:r>
          </w:p>
          <w:p w14:paraId="529C2D51" w14:textId="77777777" w:rsidR="00CD2A1F" w:rsidRPr="00E05272" w:rsidRDefault="00CD2A1F" w:rsidP="00470C15">
            <w:pPr>
              <w:pStyle w:val="ListParagraph"/>
              <w:ind w:left="360"/>
              <w:rPr>
                <w:rFonts w:ascii="Lato" w:eastAsia="Gill Sans MT" w:hAnsi="Lato" w:cstheme="minorHAnsi"/>
                <w:sz w:val="22"/>
                <w:szCs w:val="22"/>
              </w:rPr>
            </w:pPr>
          </w:p>
          <w:p w14:paraId="4C834B1A" w14:textId="77777777" w:rsidR="00CD2A1F" w:rsidRPr="00E05272" w:rsidRDefault="00CD2A1F" w:rsidP="00470C15">
            <w:pPr>
              <w:jc w:val="both"/>
              <w:rPr>
                <w:rFonts w:ascii="Lato" w:hAnsi="Lato" w:cstheme="minorHAnsi"/>
                <w:sz w:val="22"/>
                <w:szCs w:val="22"/>
              </w:rPr>
            </w:pPr>
            <w:r w:rsidRPr="00E05272">
              <w:rPr>
                <w:rFonts w:ascii="Lato" w:eastAsia="Gill Sans MT" w:hAnsi="Lato" w:cstheme="minorHAnsi"/>
                <w:b/>
                <w:bCs/>
                <w:sz w:val="22"/>
                <w:szCs w:val="22"/>
              </w:rPr>
              <w:t>Desirable:</w:t>
            </w:r>
          </w:p>
          <w:p w14:paraId="63E4F3A5" w14:textId="77777777" w:rsidR="00CD2A1F" w:rsidRPr="00E05272" w:rsidRDefault="00CD2A1F" w:rsidP="00CD2A1F">
            <w:pPr>
              <w:pStyle w:val="ListParagraph"/>
              <w:numPr>
                <w:ilvl w:val="0"/>
                <w:numId w:val="3"/>
              </w:numPr>
              <w:jc w:val="both"/>
              <w:rPr>
                <w:rFonts w:ascii="Lato" w:hAnsi="Lato" w:cstheme="minorHAnsi"/>
                <w:b/>
                <w:sz w:val="22"/>
                <w:szCs w:val="22"/>
              </w:rPr>
            </w:pPr>
            <w:r w:rsidRPr="00E05272">
              <w:rPr>
                <w:rFonts w:ascii="Lato" w:eastAsia="Gill Sans MT" w:hAnsi="Lato" w:cstheme="minorHAnsi"/>
                <w:sz w:val="22"/>
                <w:szCs w:val="22"/>
              </w:rPr>
              <w:t>Additional languages, particularly French, Spanish and/or Arabic</w:t>
            </w:r>
          </w:p>
          <w:p w14:paraId="65531AA4" w14:textId="7643B580" w:rsidR="00CD2A1F" w:rsidRPr="00E05272" w:rsidRDefault="00CD2A1F" w:rsidP="00CD2A1F">
            <w:pPr>
              <w:pStyle w:val="ListParagraph"/>
              <w:numPr>
                <w:ilvl w:val="0"/>
                <w:numId w:val="3"/>
              </w:numPr>
              <w:jc w:val="both"/>
              <w:rPr>
                <w:rFonts w:ascii="Lato" w:hAnsi="Lato" w:cstheme="minorHAnsi"/>
                <w:b/>
                <w:sz w:val="22"/>
                <w:szCs w:val="22"/>
              </w:rPr>
            </w:pPr>
            <w:r w:rsidRPr="00E05272">
              <w:rPr>
                <w:rFonts w:ascii="Lato" w:eastAsia="Gill Sans MT" w:hAnsi="Lato" w:cstheme="minorHAnsi"/>
                <w:sz w:val="22"/>
                <w:szCs w:val="22"/>
              </w:rPr>
              <w:t>Strong written communication skills and ability to convey complex concepts to non-technical staff</w:t>
            </w:r>
          </w:p>
          <w:p w14:paraId="6163DA8E" w14:textId="7EBDF46F" w:rsidR="00CD5510" w:rsidRPr="00E05272" w:rsidRDefault="00CD5510" w:rsidP="00B12EEB">
            <w:pPr>
              <w:rPr>
                <w:rFonts w:ascii="Lato" w:hAnsi="Lato" w:cstheme="minorHAnsi"/>
                <w:b/>
                <w:sz w:val="22"/>
                <w:szCs w:val="22"/>
              </w:rPr>
            </w:pPr>
            <w:bookmarkStart w:id="1" w:name="_GoBack"/>
            <w:bookmarkEnd w:id="1"/>
          </w:p>
        </w:tc>
      </w:tr>
      <w:tr w:rsidR="00CD5510" w:rsidRPr="00E05272" w14:paraId="38FDDDDF" w14:textId="77777777" w:rsidTr="00470C15">
        <w:trPr>
          <w:trHeight w:val="425"/>
        </w:trPr>
        <w:tc>
          <w:tcPr>
            <w:tcW w:w="9498" w:type="dxa"/>
            <w:gridSpan w:val="3"/>
          </w:tcPr>
          <w:p w14:paraId="6BBBCAED" w14:textId="77777777" w:rsidR="00CD5510" w:rsidRPr="00E05272" w:rsidRDefault="00CD5510" w:rsidP="00CD5510">
            <w:pPr>
              <w:rPr>
                <w:rFonts w:ascii="Lato" w:hAnsi="Lato" w:cs="Arial"/>
                <w:b/>
                <w:sz w:val="22"/>
                <w:szCs w:val="22"/>
              </w:rPr>
            </w:pPr>
            <w:r w:rsidRPr="00E05272">
              <w:rPr>
                <w:rFonts w:ascii="Lato" w:hAnsi="Lato" w:cs="Arial"/>
                <w:b/>
                <w:sz w:val="22"/>
                <w:szCs w:val="22"/>
              </w:rPr>
              <w:t>Additional job responsibilities</w:t>
            </w:r>
          </w:p>
          <w:p w14:paraId="68FFD0E5" w14:textId="1E64DAB0" w:rsidR="00CD5510" w:rsidRPr="00E05272" w:rsidRDefault="00CD5510" w:rsidP="00CD5510">
            <w:pPr>
              <w:tabs>
                <w:tab w:val="left" w:pos="1134"/>
              </w:tabs>
              <w:jc w:val="both"/>
              <w:rPr>
                <w:rFonts w:ascii="Lato" w:hAnsi="Lato" w:cstheme="minorHAnsi"/>
                <w:sz w:val="22"/>
                <w:szCs w:val="22"/>
              </w:rPr>
            </w:pPr>
            <w:r w:rsidRPr="00E05272">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CD5510" w:rsidRPr="00E05272" w14:paraId="3275D132" w14:textId="77777777" w:rsidTr="00470C15">
        <w:tc>
          <w:tcPr>
            <w:tcW w:w="9498" w:type="dxa"/>
            <w:gridSpan w:val="3"/>
            <w:tcBorders>
              <w:top w:val="single" w:sz="8" w:space="0" w:color="000000" w:themeColor="text1"/>
            </w:tcBorders>
          </w:tcPr>
          <w:p w14:paraId="40E51B47" w14:textId="77777777" w:rsidR="00CD5510" w:rsidRPr="00E05272" w:rsidRDefault="00CD5510" w:rsidP="00CD5510">
            <w:pPr>
              <w:rPr>
                <w:rFonts w:ascii="Lato" w:hAnsi="Lato" w:cs="Arial"/>
                <w:b/>
                <w:sz w:val="22"/>
                <w:szCs w:val="22"/>
              </w:rPr>
            </w:pPr>
            <w:r w:rsidRPr="00E05272">
              <w:rPr>
                <w:rFonts w:ascii="Lato" w:hAnsi="Lato" w:cs="Arial"/>
                <w:b/>
                <w:sz w:val="22"/>
                <w:szCs w:val="22"/>
              </w:rPr>
              <w:t xml:space="preserve">Equal Opportunities </w:t>
            </w:r>
          </w:p>
          <w:p w14:paraId="68FFA550" w14:textId="305453AD" w:rsidR="00CD5510" w:rsidRPr="00E05272" w:rsidRDefault="00CD5510" w:rsidP="00CD5510">
            <w:pPr>
              <w:jc w:val="both"/>
              <w:rPr>
                <w:rFonts w:ascii="Lato" w:hAnsi="Lato" w:cstheme="minorHAnsi"/>
                <w:sz w:val="22"/>
                <w:szCs w:val="22"/>
              </w:rPr>
            </w:pPr>
            <w:r w:rsidRPr="00E05272">
              <w:rPr>
                <w:rFonts w:ascii="Lato" w:hAnsi="Lato" w:cs="Arial"/>
                <w:sz w:val="22"/>
                <w:szCs w:val="22"/>
              </w:rPr>
              <w:t>The role holder is required to carry out the duties in accordance with the SCI Equal Opportunities and Diversity policies and procedures.</w:t>
            </w:r>
          </w:p>
        </w:tc>
      </w:tr>
      <w:tr w:rsidR="00CD5510" w:rsidRPr="00E05272" w14:paraId="07027455" w14:textId="77777777" w:rsidTr="00470C15">
        <w:tc>
          <w:tcPr>
            <w:tcW w:w="9498" w:type="dxa"/>
            <w:gridSpan w:val="3"/>
          </w:tcPr>
          <w:p w14:paraId="595133CA" w14:textId="77777777" w:rsidR="00CD5510" w:rsidRPr="00E05272" w:rsidRDefault="00CD5510" w:rsidP="00CD5510">
            <w:pPr>
              <w:rPr>
                <w:rFonts w:ascii="Lato" w:hAnsi="Lato"/>
                <w:b/>
                <w:color w:val="000000"/>
                <w:sz w:val="22"/>
                <w:szCs w:val="22"/>
              </w:rPr>
            </w:pPr>
            <w:r w:rsidRPr="00E05272">
              <w:rPr>
                <w:rFonts w:ascii="Lato" w:hAnsi="Lato"/>
                <w:b/>
                <w:color w:val="000000"/>
                <w:sz w:val="22"/>
                <w:szCs w:val="22"/>
              </w:rPr>
              <w:t>Child Safeguarding:</w:t>
            </w:r>
          </w:p>
          <w:p w14:paraId="7B5856AF" w14:textId="1B3CBDD4" w:rsidR="00CD5510" w:rsidRPr="00E05272" w:rsidRDefault="00CD5510" w:rsidP="00CD5510">
            <w:pPr>
              <w:jc w:val="both"/>
              <w:rPr>
                <w:rFonts w:ascii="Lato" w:hAnsi="Lato" w:cstheme="minorHAnsi"/>
                <w:sz w:val="22"/>
                <w:szCs w:val="22"/>
              </w:rPr>
            </w:pPr>
            <w:r w:rsidRPr="00E05272">
              <w:rPr>
                <w:rFonts w:ascii="Lato" w:hAnsi="Lato"/>
                <w:color w:val="000000"/>
                <w:sz w:val="22"/>
                <w:szCs w:val="22"/>
              </w:rPr>
              <w:lastRenderedPageBreak/>
              <w:t>We need to keep children safe so our selection process, which includes rigorous background checks, reflects our commitment to the protection of children from abuse</w:t>
            </w:r>
            <w:r w:rsidRPr="00E05272">
              <w:rPr>
                <w:rFonts w:ascii="Lato" w:hAnsi="Lato"/>
                <w:sz w:val="22"/>
                <w:szCs w:val="22"/>
              </w:rPr>
              <w:t>.</w:t>
            </w:r>
          </w:p>
        </w:tc>
      </w:tr>
      <w:tr w:rsidR="00CD5510" w:rsidRPr="00E05272" w14:paraId="61F777D4" w14:textId="77777777" w:rsidTr="00470C15">
        <w:tc>
          <w:tcPr>
            <w:tcW w:w="9498" w:type="dxa"/>
            <w:gridSpan w:val="3"/>
          </w:tcPr>
          <w:p w14:paraId="51567030" w14:textId="77777777" w:rsidR="00CD5510" w:rsidRPr="00E05272" w:rsidRDefault="00CD5510" w:rsidP="00CD5510">
            <w:pPr>
              <w:rPr>
                <w:rFonts w:ascii="Lato" w:hAnsi="Lato"/>
                <w:b/>
                <w:sz w:val="22"/>
                <w:szCs w:val="22"/>
              </w:rPr>
            </w:pPr>
            <w:r w:rsidRPr="00E05272">
              <w:rPr>
                <w:rFonts w:ascii="Lato" w:hAnsi="Lato"/>
                <w:b/>
                <w:sz w:val="22"/>
                <w:szCs w:val="22"/>
              </w:rPr>
              <w:lastRenderedPageBreak/>
              <w:t>Safeguarding our Staff:</w:t>
            </w:r>
          </w:p>
          <w:p w14:paraId="0CE901D1" w14:textId="7C1AB295" w:rsidR="00CD5510" w:rsidRPr="00E05272" w:rsidRDefault="00CD5510" w:rsidP="00CD5510">
            <w:pPr>
              <w:jc w:val="both"/>
              <w:rPr>
                <w:rFonts w:ascii="Lato" w:hAnsi="Lato" w:cstheme="minorHAnsi"/>
                <w:b/>
                <w:sz w:val="22"/>
                <w:szCs w:val="22"/>
              </w:rPr>
            </w:pPr>
            <w:r w:rsidRPr="00E05272">
              <w:rPr>
                <w:rFonts w:ascii="Lato" w:hAnsi="Lato"/>
                <w:sz w:val="22"/>
                <w:szCs w:val="22"/>
              </w:rPr>
              <w:t>The post holder is required to carry out the duties in accordance with the SCI anti-harassment policy.</w:t>
            </w:r>
          </w:p>
        </w:tc>
      </w:tr>
      <w:tr w:rsidR="00CD5510" w:rsidRPr="00E05272" w14:paraId="4A620B0D" w14:textId="77777777" w:rsidTr="00470C15">
        <w:tc>
          <w:tcPr>
            <w:tcW w:w="9498" w:type="dxa"/>
            <w:gridSpan w:val="3"/>
          </w:tcPr>
          <w:p w14:paraId="28260774" w14:textId="77777777" w:rsidR="00CD5510" w:rsidRPr="00E05272" w:rsidRDefault="00CD5510" w:rsidP="00CD5510">
            <w:pPr>
              <w:rPr>
                <w:rFonts w:ascii="Lato" w:hAnsi="Lato" w:cs="Arial"/>
                <w:b/>
                <w:sz w:val="22"/>
                <w:szCs w:val="22"/>
              </w:rPr>
            </w:pPr>
            <w:r w:rsidRPr="00E05272">
              <w:rPr>
                <w:rFonts w:ascii="Lato" w:hAnsi="Lato" w:cs="Arial"/>
                <w:b/>
                <w:sz w:val="22"/>
                <w:szCs w:val="22"/>
              </w:rPr>
              <w:t>Health and Safety</w:t>
            </w:r>
          </w:p>
          <w:p w14:paraId="19075C06" w14:textId="55F8C435" w:rsidR="00CD5510" w:rsidRPr="00E05272" w:rsidRDefault="00CD5510" w:rsidP="00CD5510">
            <w:pPr>
              <w:jc w:val="both"/>
              <w:rPr>
                <w:rFonts w:ascii="Lato" w:hAnsi="Lato" w:cstheme="minorHAnsi"/>
                <w:sz w:val="22"/>
                <w:szCs w:val="22"/>
              </w:rPr>
            </w:pPr>
            <w:r w:rsidRPr="00E05272">
              <w:rPr>
                <w:rFonts w:ascii="Lato" w:hAnsi="Lato" w:cs="Arial"/>
                <w:sz w:val="22"/>
                <w:szCs w:val="22"/>
              </w:rPr>
              <w:t>The role holder is required to carry out the duties in accordance with SCI Health and Safety policies and procedures.</w:t>
            </w:r>
          </w:p>
        </w:tc>
      </w:tr>
      <w:tr w:rsidR="00CD2A1F" w:rsidRPr="00E05272" w14:paraId="5571267B" w14:textId="77777777" w:rsidTr="00470C15">
        <w:trPr>
          <w:trHeight w:val="425"/>
        </w:trPr>
        <w:tc>
          <w:tcPr>
            <w:tcW w:w="4678" w:type="dxa"/>
            <w:gridSpan w:val="2"/>
            <w:tcBorders>
              <w:bottom w:val="single" w:sz="4" w:space="0" w:color="auto"/>
            </w:tcBorders>
          </w:tcPr>
          <w:p w14:paraId="2E4EC665" w14:textId="77777777" w:rsidR="00CD2A1F" w:rsidRPr="00E05272" w:rsidRDefault="00CD2A1F" w:rsidP="00470C15">
            <w:pPr>
              <w:tabs>
                <w:tab w:val="left" w:pos="1134"/>
              </w:tabs>
              <w:jc w:val="both"/>
              <w:rPr>
                <w:rFonts w:ascii="Lato" w:hAnsi="Lato" w:cstheme="minorHAnsi"/>
                <w:b/>
                <w:sz w:val="22"/>
                <w:szCs w:val="22"/>
              </w:rPr>
            </w:pPr>
            <w:r w:rsidRPr="00E05272">
              <w:rPr>
                <w:rFonts w:ascii="Lato" w:hAnsi="Lato" w:cstheme="minorHAnsi"/>
                <w:b/>
                <w:sz w:val="22"/>
                <w:szCs w:val="22"/>
              </w:rPr>
              <w:t xml:space="preserve">JD written by:      </w:t>
            </w:r>
            <w:r w:rsidRPr="00E05272">
              <w:rPr>
                <w:rFonts w:ascii="Lato" w:hAnsi="Lato" w:cstheme="minorHAnsi"/>
                <w:bCs/>
                <w:sz w:val="22"/>
                <w:szCs w:val="22"/>
              </w:rPr>
              <w:t>Katharine Williamson</w:t>
            </w:r>
          </w:p>
        </w:tc>
        <w:tc>
          <w:tcPr>
            <w:tcW w:w="4820" w:type="dxa"/>
            <w:tcBorders>
              <w:bottom w:val="single" w:sz="4" w:space="0" w:color="auto"/>
            </w:tcBorders>
          </w:tcPr>
          <w:p w14:paraId="1F1DCDE9" w14:textId="77777777" w:rsidR="00CD2A1F" w:rsidRPr="00E05272" w:rsidRDefault="00CD2A1F" w:rsidP="00470C15">
            <w:pPr>
              <w:tabs>
                <w:tab w:val="left" w:pos="984"/>
              </w:tabs>
              <w:jc w:val="both"/>
              <w:rPr>
                <w:rFonts w:ascii="Lato" w:hAnsi="Lato" w:cstheme="minorHAnsi"/>
                <w:b/>
                <w:sz w:val="22"/>
                <w:szCs w:val="22"/>
              </w:rPr>
            </w:pPr>
            <w:r w:rsidRPr="00E05272">
              <w:rPr>
                <w:rFonts w:ascii="Lato" w:hAnsi="Lato" w:cstheme="minorHAnsi"/>
                <w:b/>
                <w:sz w:val="22"/>
                <w:szCs w:val="22"/>
              </w:rPr>
              <w:t xml:space="preserve">Date:        </w:t>
            </w:r>
            <w:r w:rsidRPr="00E05272">
              <w:rPr>
                <w:rFonts w:ascii="Lato" w:hAnsi="Lato" w:cstheme="minorHAnsi"/>
                <w:bCs/>
                <w:sz w:val="22"/>
                <w:szCs w:val="22"/>
              </w:rPr>
              <w:t>17/04/24</w:t>
            </w:r>
          </w:p>
        </w:tc>
      </w:tr>
      <w:tr w:rsidR="00CD2A1F" w:rsidRPr="00E05272" w14:paraId="021C20ED" w14:textId="77777777" w:rsidTr="00470C15">
        <w:trPr>
          <w:trHeight w:val="425"/>
        </w:trPr>
        <w:tc>
          <w:tcPr>
            <w:tcW w:w="4678" w:type="dxa"/>
            <w:gridSpan w:val="2"/>
            <w:tcBorders>
              <w:bottom w:val="single" w:sz="4" w:space="0" w:color="auto"/>
            </w:tcBorders>
          </w:tcPr>
          <w:p w14:paraId="70DE176B" w14:textId="77777777" w:rsidR="00CD2A1F" w:rsidRPr="00E05272" w:rsidRDefault="00CD2A1F" w:rsidP="00470C15">
            <w:pPr>
              <w:tabs>
                <w:tab w:val="left" w:pos="1134"/>
              </w:tabs>
              <w:jc w:val="both"/>
              <w:rPr>
                <w:rFonts w:ascii="Lato" w:hAnsi="Lato" w:cstheme="minorHAnsi"/>
                <w:sz w:val="22"/>
                <w:szCs w:val="22"/>
              </w:rPr>
            </w:pPr>
            <w:r w:rsidRPr="00E05272">
              <w:rPr>
                <w:rFonts w:ascii="Lato" w:hAnsi="Lato" w:cstheme="minorHAnsi"/>
                <w:b/>
                <w:sz w:val="22"/>
                <w:szCs w:val="22"/>
              </w:rPr>
              <w:t>JD agreed by:</w:t>
            </w:r>
          </w:p>
        </w:tc>
        <w:tc>
          <w:tcPr>
            <w:tcW w:w="4820" w:type="dxa"/>
          </w:tcPr>
          <w:p w14:paraId="133562CD" w14:textId="77777777" w:rsidR="00CD2A1F" w:rsidRPr="00E05272" w:rsidRDefault="00CD2A1F" w:rsidP="00470C15">
            <w:pPr>
              <w:tabs>
                <w:tab w:val="left" w:pos="984"/>
              </w:tabs>
              <w:jc w:val="both"/>
              <w:rPr>
                <w:rFonts w:ascii="Lato" w:hAnsi="Lato" w:cstheme="minorHAnsi"/>
                <w:b/>
                <w:sz w:val="22"/>
                <w:szCs w:val="22"/>
              </w:rPr>
            </w:pPr>
            <w:r w:rsidRPr="00E05272">
              <w:rPr>
                <w:rFonts w:ascii="Lato" w:hAnsi="Lato" w:cstheme="minorHAnsi"/>
                <w:b/>
                <w:sz w:val="22"/>
                <w:szCs w:val="22"/>
              </w:rPr>
              <w:t>Date:</w:t>
            </w:r>
          </w:p>
        </w:tc>
      </w:tr>
      <w:tr w:rsidR="00CD2A1F" w:rsidRPr="00E05272" w14:paraId="33F91156" w14:textId="77777777" w:rsidTr="00470C15">
        <w:trPr>
          <w:trHeight w:val="425"/>
        </w:trPr>
        <w:tc>
          <w:tcPr>
            <w:tcW w:w="4678" w:type="dxa"/>
            <w:gridSpan w:val="2"/>
          </w:tcPr>
          <w:p w14:paraId="0C27DE65" w14:textId="77777777" w:rsidR="00CD2A1F" w:rsidRPr="00E05272" w:rsidRDefault="00CD2A1F" w:rsidP="00470C15">
            <w:pPr>
              <w:tabs>
                <w:tab w:val="left" w:pos="1134"/>
              </w:tabs>
              <w:jc w:val="both"/>
              <w:rPr>
                <w:rFonts w:ascii="Lato" w:hAnsi="Lato" w:cstheme="minorHAnsi"/>
                <w:b/>
                <w:sz w:val="22"/>
                <w:szCs w:val="22"/>
              </w:rPr>
            </w:pPr>
            <w:r w:rsidRPr="00E05272">
              <w:rPr>
                <w:rFonts w:ascii="Lato" w:hAnsi="Lato" w:cstheme="minorHAnsi"/>
                <w:b/>
                <w:sz w:val="22"/>
                <w:szCs w:val="22"/>
              </w:rPr>
              <w:t>Updated By:</w:t>
            </w:r>
          </w:p>
        </w:tc>
        <w:tc>
          <w:tcPr>
            <w:tcW w:w="4820" w:type="dxa"/>
            <w:tcBorders>
              <w:bottom w:val="single" w:sz="4" w:space="0" w:color="auto"/>
            </w:tcBorders>
          </w:tcPr>
          <w:p w14:paraId="708B884E" w14:textId="77777777" w:rsidR="00CD2A1F" w:rsidRPr="00E05272" w:rsidRDefault="00CD2A1F" w:rsidP="00470C15">
            <w:pPr>
              <w:tabs>
                <w:tab w:val="left" w:pos="984"/>
              </w:tabs>
              <w:jc w:val="both"/>
              <w:rPr>
                <w:rFonts w:ascii="Lato" w:hAnsi="Lato" w:cstheme="minorHAnsi"/>
                <w:b/>
                <w:sz w:val="22"/>
                <w:szCs w:val="22"/>
              </w:rPr>
            </w:pPr>
            <w:r w:rsidRPr="00E05272">
              <w:rPr>
                <w:rFonts w:ascii="Lato" w:hAnsi="Lato" w:cstheme="minorHAnsi"/>
                <w:b/>
                <w:sz w:val="22"/>
                <w:szCs w:val="22"/>
              </w:rPr>
              <w:t>Date:</w:t>
            </w:r>
          </w:p>
        </w:tc>
      </w:tr>
      <w:tr w:rsidR="00CD2A1F" w:rsidRPr="00E05272" w14:paraId="5ED8EB22" w14:textId="77777777" w:rsidTr="00470C15">
        <w:trPr>
          <w:trHeight w:val="425"/>
        </w:trPr>
        <w:tc>
          <w:tcPr>
            <w:tcW w:w="4678" w:type="dxa"/>
            <w:gridSpan w:val="2"/>
            <w:tcBorders>
              <w:bottom w:val="single" w:sz="4" w:space="0" w:color="auto"/>
            </w:tcBorders>
          </w:tcPr>
          <w:p w14:paraId="751AE848" w14:textId="77777777" w:rsidR="00CD2A1F" w:rsidRPr="00E05272" w:rsidRDefault="00CD2A1F" w:rsidP="00470C15">
            <w:pPr>
              <w:tabs>
                <w:tab w:val="left" w:pos="1134"/>
              </w:tabs>
              <w:jc w:val="both"/>
              <w:rPr>
                <w:rFonts w:ascii="Lato" w:hAnsi="Lato" w:cstheme="minorHAnsi"/>
                <w:b/>
                <w:sz w:val="22"/>
                <w:szCs w:val="22"/>
              </w:rPr>
            </w:pPr>
            <w:r w:rsidRPr="00E05272">
              <w:rPr>
                <w:rFonts w:ascii="Lato" w:hAnsi="Lato" w:cstheme="minorHAnsi"/>
                <w:b/>
                <w:sz w:val="22"/>
                <w:szCs w:val="22"/>
              </w:rPr>
              <w:t>Evaluated:</w:t>
            </w:r>
          </w:p>
        </w:tc>
        <w:tc>
          <w:tcPr>
            <w:tcW w:w="4820" w:type="dxa"/>
            <w:tcBorders>
              <w:bottom w:val="single" w:sz="4" w:space="0" w:color="auto"/>
            </w:tcBorders>
          </w:tcPr>
          <w:p w14:paraId="244DFC68" w14:textId="77777777" w:rsidR="00CD2A1F" w:rsidRPr="00E05272" w:rsidRDefault="00CD2A1F" w:rsidP="00470C15">
            <w:pPr>
              <w:tabs>
                <w:tab w:val="left" w:pos="984"/>
              </w:tabs>
              <w:jc w:val="both"/>
              <w:rPr>
                <w:rFonts w:ascii="Lato" w:hAnsi="Lato" w:cstheme="minorHAnsi"/>
                <w:b/>
                <w:sz w:val="22"/>
                <w:szCs w:val="22"/>
              </w:rPr>
            </w:pPr>
            <w:r w:rsidRPr="00E05272">
              <w:rPr>
                <w:rFonts w:ascii="Lato" w:hAnsi="Lato" w:cstheme="minorHAnsi"/>
                <w:b/>
                <w:sz w:val="22"/>
                <w:szCs w:val="22"/>
              </w:rPr>
              <w:t>Date:</w:t>
            </w:r>
          </w:p>
        </w:tc>
      </w:tr>
    </w:tbl>
    <w:p w14:paraId="42C170E3" w14:textId="77777777" w:rsidR="00CD2A1F" w:rsidRPr="00E05272" w:rsidRDefault="00CD2A1F" w:rsidP="00CD2A1F">
      <w:pPr>
        <w:jc w:val="both"/>
        <w:rPr>
          <w:rFonts w:ascii="Lato" w:hAnsi="Lato" w:cs="Arial"/>
          <w:sz w:val="22"/>
          <w:szCs w:val="22"/>
        </w:rPr>
      </w:pPr>
    </w:p>
    <w:p w14:paraId="12147FC5" w14:textId="77777777" w:rsidR="00D134C2" w:rsidRPr="00E05272" w:rsidRDefault="00D134C2">
      <w:pPr>
        <w:rPr>
          <w:rFonts w:ascii="Lato" w:hAnsi="Lato"/>
          <w:sz w:val="22"/>
          <w:szCs w:val="22"/>
        </w:rPr>
      </w:pPr>
    </w:p>
    <w:sectPr w:rsidR="00D134C2" w:rsidRPr="00E05272">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35C55" w14:textId="77777777" w:rsidR="00CD2A1F" w:rsidRDefault="00CD2A1F" w:rsidP="00CD2A1F">
      <w:r>
        <w:separator/>
      </w:r>
    </w:p>
  </w:endnote>
  <w:endnote w:type="continuationSeparator" w:id="0">
    <w:p w14:paraId="348661D3" w14:textId="77777777" w:rsidR="00CD2A1F" w:rsidRDefault="00CD2A1F" w:rsidP="00CD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Gill Sans MT">
    <w:altName w:val="Bahnschrift Light"/>
    <w:panose1 w:val="020B0502020104020203"/>
    <w:charset w:val="00"/>
    <w:family w:val="swiss"/>
    <w:pitch w:val="variable"/>
    <w:sig w:usb0="00000007" w:usb1="00000000" w:usb2="00000000" w:usb3="00000000" w:csb0="0000000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F5D78" w14:textId="77777777" w:rsidR="00CD2A1F" w:rsidRDefault="00CD2A1F" w:rsidP="00CD2A1F">
      <w:r>
        <w:separator/>
      </w:r>
    </w:p>
  </w:footnote>
  <w:footnote w:type="continuationSeparator" w:id="0">
    <w:p w14:paraId="33AEB5CD" w14:textId="77777777" w:rsidR="00CD2A1F" w:rsidRDefault="00CD2A1F" w:rsidP="00CD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27A7" w14:textId="77777777" w:rsidR="00CD5510" w:rsidRPr="002C6155" w:rsidRDefault="00CD5510" w:rsidP="00CD5510">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12A0F914" wp14:editId="44801EFA">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528F5" w14:textId="77777777" w:rsidR="00CD5510" w:rsidRPr="002C6155" w:rsidRDefault="00CD5510" w:rsidP="00CD5510">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73F20EA"/>
    <w:multiLevelType w:val="hybridMultilevel"/>
    <w:tmpl w:val="B58EB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623BAB"/>
    <w:multiLevelType w:val="hybridMultilevel"/>
    <w:tmpl w:val="7592D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6C292E"/>
    <w:multiLevelType w:val="hybridMultilevel"/>
    <w:tmpl w:val="1DA4779C"/>
    <w:lvl w:ilvl="0" w:tplc="0000000C">
      <w:start w:val="1"/>
      <w:numFmt w:val="bullet"/>
      <w:lvlText w:val=""/>
      <w:lvlJc w:val="left"/>
      <w:pPr>
        <w:tabs>
          <w:tab w:val="num" w:pos="360"/>
        </w:tabs>
        <w:ind w:left="360" w:hanging="360"/>
      </w:pPr>
      <w:rPr>
        <w:rFonts w:ascii="Symbol" w:hAnsi="Symbol"/>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7" w15:restartNumberingAfterBreak="0">
    <w:nsid w:val="765622FA"/>
    <w:multiLevelType w:val="hybridMultilevel"/>
    <w:tmpl w:val="F0826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BC2188"/>
    <w:multiLevelType w:val="hybridMultilevel"/>
    <w:tmpl w:val="31004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8"/>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1F"/>
    <w:rsid w:val="00B12EEB"/>
    <w:rsid w:val="00CD2A1F"/>
    <w:rsid w:val="00CD5510"/>
    <w:rsid w:val="00D134C2"/>
    <w:rsid w:val="00E05272"/>
    <w:rsid w:val="00F54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F10C8"/>
  <w15:chartTrackingRefBased/>
  <w15:docId w15:val="{8B3F651A-6AAB-46B7-8C04-48D89590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2A1F"/>
    <w:pPr>
      <w:tabs>
        <w:tab w:val="center" w:pos="4153"/>
        <w:tab w:val="right" w:pos="8306"/>
      </w:tabs>
      <w:ind w:left="1560"/>
    </w:pPr>
  </w:style>
  <w:style w:type="character" w:customStyle="1" w:styleId="HeaderChar">
    <w:name w:val="Header Char"/>
    <w:basedOn w:val="DefaultParagraphFont"/>
    <w:link w:val="Header"/>
    <w:rsid w:val="00CD2A1F"/>
    <w:rPr>
      <w:rFonts w:ascii="Times New Roman" w:eastAsia="Times New Roman" w:hAnsi="Times New Roman" w:cs="Times New Roman"/>
      <w:sz w:val="24"/>
      <w:szCs w:val="20"/>
    </w:rPr>
  </w:style>
  <w:style w:type="paragraph" w:styleId="ListParagraph">
    <w:name w:val="List Paragraph"/>
    <w:basedOn w:val="Normal"/>
    <w:uiPriority w:val="34"/>
    <w:qFormat/>
    <w:rsid w:val="00CD2A1F"/>
    <w:pPr>
      <w:ind w:left="720"/>
      <w:contextualSpacing/>
    </w:pPr>
  </w:style>
  <w:style w:type="paragraph" w:customStyle="1" w:styleId="contentpasted0">
    <w:name w:val="contentpasted0"/>
    <w:basedOn w:val="Normal"/>
    <w:rsid w:val="00CD2A1F"/>
    <w:rPr>
      <w:rFonts w:eastAsiaTheme="minorHAnsi"/>
      <w:szCs w:val="24"/>
      <w:lang w:eastAsia="en-GB" w:bidi="he-IL"/>
    </w:rPr>
  </w:style>
  <w:style w:type="paragraph" w:styleId="Footer">
    <w:name w:val="footer"/>
    <w:basedOn w:val="Normal"/>
    <w:link w:val="FooterChar"/>
    <w:uiPriority w:val="99"/>
    <w:unhideWhenUsed/>
    <w:rsid w:val="00CD5510"/>
    <w:pPr>
      <w:tabs>
        <w:tab w:val="center" w:pos="4513"/>
        <w:tab w:val="right" w:pos="9026"/>
      </w:tabs>
    </w:pPr>
  </w:style>
  <w:style w:type="character" w:customStyle="1" w:styleId="FooterChar">
    <w:name w:val="Footer Char"/>
    <w:basedOn w:val="DefaultParagraphFont"/>
    <w:link w:val="Footer"/>
    <w:uiPriority w:val="99"/>
    <w:rsid w:val="00CD5510"/>
    <w:rPr>
      <w:rFonts w:ascii="Times New Roman" w:eastAsia="Times New Roman" w:hAnsi="Times New Roman" w:cs="Times New Roman"/>
      <w:sz w:val="24"/>
      <w:szCs w:val="20"/>
    </w:rPr>
  </w:style>
  <w:style w:type="character" w:styleId="Strong">
    <w:name w:val="Strong"/>
    <w:basedOn w:val="DefaultParagraphFont"/>
    <w:uiPriority w:val="22"/>
    <w:qFormat/>
    <w:rsid w:val="00CD5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8" ma:contentTypeDescription="Create a new document." ma:contentTypeScope="" ma:versionID="9f152fc49cec3f227294e5d78c39b6e0">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e40ace68eb87e79ffb4e8d1bfd53363c"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6dea5c0-e65d-49a8-9649-6813e91f0d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8379-8DB7-4B42-92F1-7DE710D6D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FD268-E60B-4C93-971E-6576E7E8505B}">
  <ds:schemaRefs>
    <ds:schemaRef ds:uri="http://schemas.microsoft.com/sharepoint/v3/contenttype/forms"/>
  </ds:schemaRefs>
</ds:datastoreItem>
</file>

<file path=customXml/itemProps3.xml><?xml version="1.0" encoding="utf-8"?>
<ds:datastoreItem xmlns:ds="http://schemas.openxmlformats.org/officeDocument/2006/customXml" ds:itemID="{CC1655C3-C1DF-4437-85C2-D240D17195F8}">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cb6bb106-cc73-47ee-b801-18ddeda56b9f"/>
    <ds:schemaRef ds:uri="56dea5c0-e65d-49a8-9649-6813e91f0d1e"/>
    <ds:schemaRef ds:uri="http://purl.org/dc/elements/1.1/"/>
  </ds:schemaRefs>
</ds:datastoreItem>
</file>

<file path=customXml/itemProps4.xml><?xml version="1.0" encoding="utf-8"?>
<ds:datastoreItem xmlns:ds="http://schemas.openxmlformats.org/officeDocument/2006/customXml" ds:itemID="{D191C2F6-D3B1-4696-966D-D044D085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Estibeiro, Hilda</dc:creator>
  <cp:keywords/>
  <dc:description/>
  <cp:lastModifiedBy>Estibeiro, Hilda</cp:lastModifiedBy>
  <cp:revision>5</cp:revision>
  <dcterms:created xsi:type="dcterms:W3CDTF">2024-04-25T12:13:00Z</dcterms:created>
  <dcterms:modified xsi:type="dcterms:W3CDTF">2024-04-25T12:26:00Z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0x0101003E7B47FCCA4AEE41BA46EDE3978FFB74</vt:lpwstr>
  </property>
</Properties>
</file>